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BC" w:rsidRDefault="00436C8C">
      <w:pPr>
        <w:pStyle w:val="a7"/>
        <w:spacing w:before="28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 КОНФЕРЕНЦИЯ И ВЫСТАВК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b/>
          <w:sz w:val="28"/>
          <w:szCs w:val="28"/>
        </w:rPr>
        <w:t>-КОНКУРС ПР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ЕКТОВ И ТВОРЧЕСКИХ  РАБОТ СТУДЕНТОВ</w:t>
      </w:r>
    </w:p>
    <w:p w:rsidR="00FB24BC" w:rsidRDefault="00436C8C">
      <w:pPr>
        <w:pStyle w:val="a7"/>
        <w:spacing w:before="28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«КОМПОЗИЦИОННЫЙ АНАЛИЗ АРХИТЕКТУРНОГО ОБЪЕКТА»,</w:t>
      </w:r>
      <w:r>
        <w:rPr>
          <w:rFonts w:ascii="Times New Roman" w:hAnsi="Times New Roman"/>
          <w:b/>
          <w:sz w:val="28"/>
          <w:szCs w:val="28"/>
        </w:rPr>
        <w:br/>
        <w:t xml:space="preserve">«ОБЪЕКТ АРХИТЕКТУРЫ В ТЕХНИКЕ ОТМЫВКИ», </w:t>
      </w:r>
      <w:r>
        <w:rPr>
          <w:rFonts w:ascii="Times New Roman" w:hAnsi="Times New Roman"/>
          <w:b/>
          <w:sz w:val="28"/>
          <w:szCs w:val="28"/>
        </w:rPr>
        <w:br/>
        <w:t>«МАЛОЕ ОБЩЕСТВЕННОЕ ЗДАНИЕ»</w:t>
      </w:r>
    </w:p>
    <w:p w:rsidR="00FB24BC" w:rsidRDefault="00436C8C">
      <w:pPr>
        <w:pStyle w:val="a7"/>
        <w:spacing w:before="280" w:after="2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Россия, Иркутск, 20-30 ноября 2023 года</w:t>
      </w:r>
    </w:p>
    <w:p w:rsidR="00FB24BC" w:rsidRDefault="00FB24BC">
      <w:pPr>
        <w:pStyle w:val="a7"/>
        <w:spacing w:before="280" w:after="28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4BC" w:rsidRDefault="00436C8C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Главная цель мероприятия продемонстрировать креативную деятельность студентов, показать художественную ценность академической  архитектурной графики, объемно-пространственных и колористических композиций, формирующих творческий профессионализм на начальной ступени образовательного процесса.</w:t>
      </w:r>
    </w:p>
    <w:p w:rsidR="00FB24BC" w:rsidRDefault="00FB24BC">
      <w:pPr>
        <w:snapToGrid w:val="0"/>
        <w:spacing w:before="60" w:after="60" w:line="276" w:lineRule="auto"/>
        <w:ind w:firstLine="709"/>
        <w:rPr>
          <w:rFonts w:cs="Times New Roman"/>
        </w:rPr>
      </w:pPr>
    </w:p>
    <w:p w:rsidR="00FB24BC" w:rsidRDefault="00436C8C">
      <w:pPr>
        <w:snapToGrid w:val="0"/>
        <w:spacing w:before="60" w:after="6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FB24BC" w:rsidRDefault="00436C8C">
      <w:pPr>
        <w:snapToGrid w:val="0"/>
        <w:spacing w:before="60" w:after="6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всероссийский конкурс выставлены лучшие работы студентов ИРНИТУ младших курсов направлений подготовки «Архитектура», «Дизайн архитектурной среды»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Реконструкция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реставрация архитектурного наследия».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 география участников из других вузов страны: 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МАРХИ </w:t>
      </w:r>
      <w:r w:rsidRPr="00384735">
        <w:rPr>
          <w:rFonts w:ascii="Times New Roman" w:hAnsi="Times New Roman" w:cs="Times New Roman"/>
          <w:sz w:val="28"/>
          <w:szCs w:val="28"/>
        </w:rPr>
        <w:t xml:space="preserve">Московский Архитектурный Институт (Государственная академия) 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 </w:t>
      </w:r>
      <w:r w:rsidRPr="00384735">
        <w:rPr>
          <w:rFonts w:ascii="Times New Roman" w:hAnsi="Times New Roman" w:cs="Times New Roman"/>
          <w:sz w:val="28"/>
          <w:szCs w:val="28"/>
        </w:rPr>
        <w:t>СФУ Сибирский Федеральный университет архитектуры и дизайна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 </w:t>
      </w:r>
      <w:r>
        <w:rPr>
          <w:rFonts w:ascii="Times New Roman" w:eastAsia="Times New Roman" w:hAnsi="Times New Roman" w:cs="Times New Roman"/>
          <w:sz w:val="28"/>
          <w:szCs w:val="28"/>
        </w:rPr>
        <w:t>НГУАДИ Новосибирский государственный университет архитектуры, дизайна и искусств,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архитектурные школы продемонстрировали исследовательское и художественное многообразие студенческих работ по данной тематике (70 работ). 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активное участие студенты-архитекторы, дизайнеры и реставраторы ИРНИТУ, представив свыше 50 проектов.</w:t>
      </w:r>
    </w:p>
    <w:p w:rsidR="00FB24BC" w:rsidRDefault="00FB24BC">
      <w:pPr>
        <w:snapToGri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24BC" w:rsidRDefault="00FB24BC">
      <w:pPr>
        <w:snapToGri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24BC" w:rsidRDefault="00436C8C">
      <w:pPr>
        <w:snapToGrid w:val="0"/>
        <w:spacing w:line="276" w:lineRule="auto"/>
        <w:ind w:firstLine="709"/>
        <w:rPr>
          <w:rFonts w:cs="Times New Roman"/>
        </w:rPr>
      </w:pPr>
      <w:r>
        <w:br w:type="page"/>
      </w:r>
    </w:p>
    <w:p w:rsidR="00FB24BC" w:rsidRDefault="00436C8C">
      <w:pPr>
        <w:snapToGri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Номинация 1 </w:t>
      </w:r>
      <w:r>
        <w:rPr>
          <w:rFonts w:ascii="Times New Roman" w:hAnsi="Times New Roman" w:cs="Times New Roman"/>
          <w:b/>
          <w:sz w:val="28"/>
          <w:szCs w:val="28"/>
        </w:rPr>
        <w:t>«КОМПОЗИЦИОННЫЙ АНАЛИЗ АРХИТЕКТУРНОГО ОБЪЕКТА»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на тему «Композиционный анализ архитектурного объекта» ярко продемонстрирована  аналитическая программа по изучению  архитектурного наследия как носителя исторических, научных, художественных   и духовных ценностей, выраженных в историческом культовом зодчестве и в светских сооружениях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 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планшетах в  цветовой графике и в макетах представлено авторское понимание конкретного сооружения, как сложного конструктивного,  функционального и эстетического явления культуры.   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Работы демонстрируют понимание архитектурной семантики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выразилось в особом  разнообразие   творческих  авторских интерпретаций художественного образа выдающихся памятников мирового зодчества, и прежде всего России.  </w:t>
      </w:r>
    </w:p>
    <w:p w:rsidR="00FB24BC" w:rsidRDefault="00FB24BC">
      <w:pPr>
        <w:snapToGrid w:val="0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FB24BC" w:rsidRDefault="00436C8C">
      <w:pPr>
        <w:snapToGri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Номинация 2 «</w:t>
      </w:r>
      <w:r>
        <w:rPr>
          <w:rFonts w:ascii="Times New Roman" w:hAnsi="Times New Roman" w:cs="Times New Roman"/>
          <w:b/>
          <w:sz w:val="28"/>
          <w:szCs w:val="28"/>
        </w:rPr>
        <w:t>ОБЪЕКТ АРХИТЕКТУРЫ В ТЕХНИКЕ ОТМЫВКИ»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Графическое мастерство — важная составляющая творчества художника в любом виде искусства. Архитектурная отмывка одно из видов ручной  графики, которая объединяет аналитические и эстетические закономерности  построения архитектурных форм. Это основополагающее средство  профессионального выражения пространственно- пластических свойств архитектурного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выставочных работах  студенты продемонстрировали традиционные способы  оформления архитектурных замыслов. В работах раскрыто понимание архитектурного объекта в пространстве. Особо ценно изобразительное мастерство и художественный вкус, который ставит сами работы в разряд произведений искусства. </w:t>
      </w:r>
    </w:p>
    <w:p w:rsidR="00FB24BC" w:rsidRDefault="00FB24BC">
      <w:pPr>
        <w:snapToGrid w:val="0"/>
        <w:spacing w:line="276" w:lineRule="auto"/>
        <w:ind w:firstLine="709"/>
        <w:rPr>
          <w:rFonts w:eastAsia="Times New Roman" w:cs="Times New Roman"/>
          <w:b/>
          <w:lang w:eastAsia="ru-RU" w:bidi="ar-SA"/>
        </w:rPr>
      </w:pPr>
    </w:p>
    <w:p w:rsidR="00FB24BC" w:rsidRDefault="00436C8C">
      <w:pPr>
        <w:snapToGri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Номинация 3 «МАЛОЕ ОБЩЕСТВЕННОЕ ЗДАНИЕ»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Представлены работы различных архитектурных школ, что отражено в разнообразии проектных решений зданий, расположенных в городской и загородной среде.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Студенты московской архитектурной школы предложили ряд работ с основательной проработкой функциональной и конструктивной сторон объекта с гармоничной проработкой архитектурной формы. Традиционная архитектурная графика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сочетании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  мастерским включением антуража выполненном с использованием возможностей современной компьютерной графики придает особую художественную ценность предложенным проектам.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Работы  архитектурной школы ИРНИТУ отличает особое внимание градостроительному или природному контексту. Экспрессия пространственно-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пластического решения ярко выражена в макетах, сопровождающих графическую часть проектов.</w:t>
      </w:r>
    </w:p>
    <w:p w:rsidR="00FB24BC" w:rsidRDefault="00FB24BC">
      <w:pPr>
        <w:snapToGrid w:val="0"/>
        <w:spacing w:line="276" w:lineRule="auto"/>
        <w:ind w:firstLine="709"/>
        <w:rPr>
          <w:rFonts w:eastAsia="Times New Roman" w:cs="Times New Roman"/>
          <w:highlight w:val="yellow"/>
          <w:lang w:eastAsia="ru-RU" w:bidi="ar-SA"/>
        </w:rPr>
      </w:pP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КОНФЕРЕНЦИЯ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на тему «КОМПОЗИЦИОННЫЙ АНАЛИЗ АРХИТЕКТУРНОГО ОБЪЕКТА» озвученные на конференции 20 ноября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К-223, отличаются особым аналитическим подходом и направлены на раскрытие  архитектурной семантики памятников архитектуры. Текстовый материал сопровождался богатым визуальным рядом, фотографиями реально существующих объектов, макетов и графических работ.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«Принципы динамики в пространственных построениях архитектуры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Ито», МАРХИ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Крестовоздвиженская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церковь, г. Иркутск», АРб-22-1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Малыгина Дарья «Композиционный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Церкви Усекновения Главы Иоанна Предтечи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Дьякове», АРб-22-1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«Польский костел, г. Иркутск», АРб-22-1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«Композиционный анализ Собора Святого Петра в Ватикане», АРб-22-1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на тему «МАЛОЕ ОБЩЕСТВЕННОЕ ЗДАНИЕ» представлены одним очным докладом. Заочные участники планируются к публикации в сборнике конференции.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«Концертный зал на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Старокузьмихинская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Иркутске», АРб-21-1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Спикеры: доц. Прокудин А.Н., доц. Дайнеко А.И.</w:t>
      </w:r>
    </w:p>
    <w:p w:rsidR="00FB24BC" w:rsidRDefault="00FB24BC">
      <w:pPr>
        <w:snapToGrid w:val="0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B24BC" w:rsidRDefault="00436C8C">
      <w:pPr>
        <w:snapToGri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B24BC" w:rsidRDefault="00436C8C">
      <w:pPr>
        <w:snapToGri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Композиционный анализ. 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архитектоники, функциональной и художественной системы архитектурного объекта, его сравнительный и структурный анализ, раскрытие семантики архитектурного произведения и умение своеобразно выразить это не только  в проектной работе, но и в докладе-презентации — есть один из базовых этапов в овладении профессией архитектора на начальном этапе обучения. </w:t>
      </w:r>
    </w:p>
    <w:p w:rsidR="00FB24BC" w:rsidRDefault="00436C8C">
      <w:pPr>
        <w:snapToGrid w:val="0"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архитектурного проектирования заложено специфическое пространственно-пластическое образное мышление. Его развитие и умение выражать замыслы связано с традиционными методами овладения традиционной ручной архитектурной графикой — </w:t>
      </w:r>
      <w:r>
        <w:rPr>
          <w:rFonts w:ascii="Times New Roman" w:hAnsi="Times New Roman" w:cs="Times New Roman"/>
          <w:b/>
          <w:sz w:val="28"/>
          <w:szCs w:val="28"/>
        </w:rPr>
        <w:t>архитектурной отмывкой и с индивидуальным проектированием отдельных сооружений.</w:t>
      </w:r>
    </w:p>
    <w:p w:rsidR="00FB24BC" w:rsidRDefault="00436C8C">
      <w:pPr>
        <w:pStyle w:val="a7"/>
        <w:suppressAutoHyphens/>
        <w:snapToGrid w:val="0"/>
        <w:spacing w:before="280" w:after="28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вышеизложенное и то, что конференции и выставки-конкурсы на темы: «Архитектурный объект в технике отмывки» и «Композиционный анализ объекта архитектуры», «Малое общественное здание» ранее не </w:t>
      </w:r>
      <w:proofErr w:type="gramStart"/>
      <w:r>
        <w:rPr>
          <w:rFonts w:ascii="Times New Roman" w:hAnsi="Times New Roman"/>
          <w:sz w:val="28"/>
          <w:szCs w:val="28"/>
        </w:rPr>
        <w:t>устраивались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послужило мотивом к проведению на базе ИРНИТУ  </w:t>
      </w:r>
      <w:r>
        <w:rPr>
          <w:rFonts w:ascii="Times New Roman" w:hAnsi="Times New Roman"/>
          <w:color w:val="000000" w:themeColor="text1"/>
          <w:sz w:val="28"/>
          <w:szCs w:val="28"/>
        </w:rPr>
        <w:t>Всероссийской  конференции и выставки-конкурса проектов и творческих</w:t>
      </w:r>
      <w:r>
        <w:rPr>
          <w:rFonts w:ascii="Times New Roman" w:hAnsi="Times New Roman"/>
          <w:sz w:val="28"/>
          <w:szCs w:val="28"/>
        </w:rPr>
        <w:t xml:space="preserve"> работ студентов» начальной ступени обучения 1-2 курсов.</w:t>
      </w:r>
    </w:p>
    <w:p w:rsidR="00FB24BC" w:rsidRDefault="00FB24BC">
      <w:pPr>
        <w:pStyle w:val="a7"/>
        <w:suppressAutoHyphens/>
        <w:snapToGrid w:val="0"/>
        <w:spacing w:before="280" w:after="28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B24BC" w:rsidRDefault="00436C8C">
      <w:pPr>
        <w:pStyle w:val="a7"/>
        <w:suppressAutoHyphens/>
        <w:snapToGrid w:val="0"/>
        <w:spacing w:before="280" w:after="28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сформированы  задачи конференции и выставк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конкурса.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Конкурсные работы и доклады-презентации призваны продемонстрировать:</w:t>
      </w:r>
    </w:p>
    <w:p w:rsidR="00FB24BC" w:rsidRDefault="00436C8C">
      <w:pPr>
        <w:numPr>
          <w:ilvl w:val="0"/>
          <w:numId w:val="1"/>
        </w:numPr>
        <w:snapToGrid w:val="0"/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исследовательские аналитические способности в изучении объектов архитектуры</w:t>
      </w:r>
    </w:p>
    <w:p w:rsidR="00FB24BC" w:rsidRDefault="00436C8C">
      <w:pPr>
        <w:numPr>
          <w:ilvl w:val="0"/>
          <w:numId w:val="1"/>
        </w:numPr>
        <w:snapToGrid w:val="0"/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сравнительные подходы в интерпретации и оценке памятников архитектуры</w:t>
      </w:r>
    </w:p>
    <w:p w:rsidR="00FB24BC" w:rsidRDefault="00436C8C">
      <w:pPr>
        <w:numPr>
          <w:ilvl w:val="0"/>
          <w:numId w:val="1"/>
        </w:numPr>
        <w:snapToGrid w:val="0"/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художественную культуру и уникальную ценность академической архитектурной графики  </w:t>
      </w:r>
    </w:p>
    <w:p w:rsidR="00FB24BC" w:rsidRDefault="00436C8C">
      <w:pPr>
        <w:numPr>
          <w:ilvl w:val="0"/>
          <w:numId w:val="1"/>
        </w:numPr>
        <w:snapToGrid w:val="0"/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эстетическую выразительность и оригинальность композиции</w:t>
      </w:r>
    </w:p>
    <w:p w:rsidR="00FB24BC" w:rsidRDefault="00436C8C">
      <w:pPr>
        <w:numPr>
          <w:ilvl w:val="0"/>
          <w:numId w:val="1"/>
        </w:numPr>
        <w:snapToGrid w:val="0"/>
        <w:spacing w:line="276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умение представить свою творческую концепцию в публичном докладе.</w:t>
      </w:r>
    </w:p>
    <w:p w:rsidR="00FB24BC" w:rsidRDefault="00436C8C">
      <w:pPr>
        <w:pStyle w:val="a7"/>
        <w:suppressAutoHyphens/>
        <w:snapToGrid w:val="0"/>
        <w:spacing w:before="280" w:after="28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Разнообразие методов изучения интерпретации архитектурных  замыслов в различных архитектурных школах, многоплановость и синтез, характерные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 аналитических  и художественных зада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 в архитектуре, позволили выделить следующие номинации и определить количество номинантов (см. Протокол, всего 70 работ).</w:t>
      </w:r>
    </w:p>
    <w:p w:rsidR="00FB24BC" w:rsidRDefault="00FB24BC">
      <w:pPr>
        <w:pStyle w:val="a7"/>
        <w:suppressAutoHyphens/>
        <w:snapToGrid w:val="0"/>
        <w:spacing w:before="280" w:after="280" w:line="276" w:lineRule="auto"/>
        <w:contextualSpacing/>
        <w:rPr>
          <w:b/>
          <w:bCs/>
          <w:color w:val="000000" w:themeColor="text1"/>
        </w:rPr>
      </w:pPr>
    </w:p>
    <w:p w:rsidR="00FB24BC" w:rsidRDefault="00436C8C">
      <w:pPr>
        <w:pStyle w:val="a7"/>
        <w:suppressAutoHyphens/>
        <w:snapToGrid w:val="0"/>
        <w:spacing w:before="280" w:after="28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Всего на выставках представлено 70 работ, из них 44 очных и 26 заочных.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Организаторы: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Дайнеко Алевтина Ивановна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ИРНИТУ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доцент кафедры Рисунка, основ проектирования и историко-архитектурного наследия, , кандидат архитектуры, член Союза архитекторов  России.</w:t>
      </w: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Сыроежкина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Мария Александровна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ИРНИТУ старший преподаватель кафедры Рисунка, основ проектирования и историко-архитектурного наследия.</w:t>
      </w:r>
    </w:p>
    <w:p w:rsidR="00FB24BC" w:rsidRDefault="00FB24BC">
      <w:pPr>
        <w:snapToGrid w:val="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24BC" w:rsidRDefault="00436C8C">
      <w:pPr>
        <w:snapToGri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комиссия: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Ладейщиков А.Ю., доцент, зам.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ИАСиД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председателя: Дайнеко А.И., доцент кафедры рисунка, основ проектирования и историко-архитектурного наследия;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комиссии:  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Прокудин А.Н., доцент кафедры рисунка, основ проектирования и историко-архитектурного наследия;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доцент кафедры рисунка, основ проектирования и историко-архитектурного наследия;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В.В., профессор  кафедры архитектурного проектирования;</w:t>
      </w:r>
    </w:p>
    <w:p w:rsidR="00FB24BC" w:rsidRDefault="00436C8C">
      <w:pPr>
        <w:pStyle w:val="11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доцент кафедры архитектурного проектирования.</w:t>
      </w:r>
    </w:p>
    <w:sectPr w:rsidR="00FB24B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1B06"/>
    <w:multiLevelType w:val="multilevel"/>
    <w:tmpl w:val="EB56E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3C6F16"/>
    <w:multiLevelType w:val="multilevel"/>
    <w:tmpl w:val="FF2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BC"/>
    <w:rsid w:val="00384735"/>
    <w:rsid w:val="00436C8C"/>
    <w:rsid w:val="006D5D41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282D10"/>
    <w:pPr>
      <w:widowControl/>
      <w:suppressAutoHyphens w:val="0"/>
      <w:spacing w:beforeAutospacing="1" w:afterAutospacing="1"/>
      <w:outlineLvl w:val="3"/>
    </w:pPr>
    <w:rPr>
      <w:rFonts w:ascii="Times" w:hAnsi="Times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40">
    <w:name w:val="Заголовок 4 Знак"/>
    <w:basedOn w:val="a0"/>
    <w:link w:val="4"/>
    <w:uiPriority w:val="9"/>
    <w:qFormat/>
    <w:rsid w:val="00282D10"/>
    <w:rPr>
      <w:rFonts w:ascii="Times" w:hAnsi="Times"/>
      <w:b/>
      <w:bCs/>
      <w:color w:val="auto"/>
      <w:lang w:eastAsia="ru-RU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  <w:lang w:val="uz-Cyrl-UZ" w:eastAsia="uz-Cyrl-UZ" w:bidi="uz-Cyrl-UZ"/>
    </w:rPr>
  </w:style>
  <w:style w:type="paragraph" w:styleId="a7">
    <w:name w:val="Normal (Web)"/>
    <w:basedOn w:val="a"/>
    <w:uiPriority w:val="99"/>
    <w:qFormat/>
    <w:pPr>
      <w:suppressAutoHyphens w:val="0"/>
      <w:spacing w:beforeAutospacing="1" w:afterAutospacing="1"/>
    </w:pPr>
    <w:rPr>
      <w:rFonts w:ascii="Times" w:hAnsi="Times" w:cs="Times New Roman"/>
      <w:sz w:val="20"/>
      <w:szCs w:val="20"/>
    </w:rPr>
  </w:style>
  <w:style w:type="paragraph" w:customStyle="1" w:styleId="11">
    <w:name w:val="Абзац списка1"/>
    <w:basedOn w:val="a"/>
    <w:qFormat/>
    <w:pPr>
      <w:spacing w:line="276" w:lineRule="auto"/>
      <w:ind w:left="720" w:firstLine="50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282D10"/>
    <w:pPr>
      <w:widowControl/>
      <w:suppressAutoHyphens w:val="0"/>
      <w:spacing w:beforeAutospacing="1" w:afterAutospacing="1"/>
      <w:outlineLvl w:val="3"/>
    </w:pPr>
    <w:rPr>
      <w:rFonts w:ascii="Times" w:hAnsi="Times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40">
    <w:name w:val="Заголовок 4 Знак"/>
    <w:basedOn w:val="a0"/>
    <w:link w:val="4"/>
    <w:uiPriority w:val="9"/>
    <w:qFormat/>
    <w:rsid w:val="00282D10"/>
    <w:rPr>
      <w:rFonts w:ascii="Times" w:hAnsi="Times"/>
      <w:b/>
      <w:bCs/>
      <w:color w:val="auto"/>
      <w:lang w:eastAsia="ru-RU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  <w:lang w:val="uz-Cyrl-UZ" w:eastAsia="uz-Cyrl-UZ" w:bidi="uz-Cyrl-UZ"/>
    </w:rPr>
  </w:style>
  <w:style w:type="paragraph" w:styleId="a7">
    <w:name w:val="Normal (Web)"/>
    <w:basedOn w:val="a"/>
    <w:uiPriority w:val="99"/>
    <w:qFormat/>
    <w:pPr>
      <w:suppressAutoHyphens w:val="0"/>
      <w:spacing w:beforeAutospacing="1" w:afterAutospacing="1"/>
    </w:pPr>
    <w:rPr>
      <w:rFonts w:ascii="Times" w:hAnsi="Times" w:cs="Times New Roman"/>
      <w:sz w:val="20"/>
      <w:szCs w:val="20"/>
    </w:rPr>
  </w:style>
  <w:style w:type="paragraph" w:customStyle="1" w:styleId="11">
    <w:name w:val="Абзац списка1"/>
    <w:basedOn w:val="a"/>
    <w:qFormat/>
    <w:pPr>
      <w:spacing w:line="276" w:lineRule="auto"/>
      <w:ind w:left="720" w:firstLine="5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1124</Words>
  <Characters>6410</Characters>
  <Application>Microsoft Office Word</Application>
  <DocSecurity>0</DocSecurity>
  <Lines>53</Lines>
  <Paragraphs>15</Paragraphs>
  <ScaleCrop>false</ScaleCrop>
  <Company>Edelweis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dc:description/>
  <cp:lastModifiedBy>Сафарян Наталья Викторовна</cp:lastModifiedBy>
  <cp:revision>5</cp:revision>
  <dcterms:created xsi:type="dcterms:W3CDTF">2023-12-26T06:42:00Z</dcterms:created>
  <dcterms:modified xsi:type="dcterms:W3CDTF">2023-12-26T06:59:00Z</dcterms:modified>
  <dc:language>ru-RU</dc:language>
</cp:coreProperties>
</file>