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A" w:rsidRPr="00A91E1A" w:rsidRDefault="00A91E1A" w:rsidP="00A91E1A">
      <w:pPr>
        <w:rPr>
          <w:b/>
        </w:rPr>
      </w:pPr>
      <w:r w:rsidRPr="00A91E1A">
        <w:rPr>
          <w:b/>
        </w:rPr>
        <w:t xml:space="preserve"> Требования к статьям</w:t>
      </w:r>
    </w:p>
    <w:p w:rsidR="00A91E1A" w:rsidRDefault="00A91E1A" w:rsidP="00A91E1A">
      <w:r>
        <w:t xml:space="preserve">Оригинал-макеты должны быть представлены в </w:t>
      </w:r>
      <w:proofErr w:type="spellStart"/>
      <w:r>
        <w:t>Word</w:t>
      </w:r>
      <w:proofErr w:type="spellEnd"/>
      <w:r>
        <w:t xml:space="preserve">. Объем 3-5 страниц.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>, размер: обычный – 14 пт., интервал – одиночный.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Ссылки</w:t>
      </w:r>
    </w:p>
    <w:p w:rsidR="00A91E1A" w:rsidRDefault="00A91E1A" w:rsidP="00A91E1A">
      <w:r>
        <w:t>Ссылки делаются внутри текста на соответствующий пункт из списка литературы, который должен идти после текста. Например: (8, с. 22-23). Не следует делать концевых или постраничных сносок.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Размещение таблиц и рисунков</w:t>
      </w:r>
    </w:p>
    <w:p w:rsidR="00A91E1A" w:rsidRDefault="00A91E1A" w:rsidP="00A91E1A">
      <w:r>
        <w:t>Если используются таблицы и схемы, то их границы не должны выходить за границы основного текста. Ссылки на таблицы и рисунки в тексте статьи. В тексте не должно быть более 2 рисунков.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Использование формул</w:t>
      </w:r>
    </w:p>
    <w:p w:rsidR="00A91E1A" w:rsidRDefault="00A91E1A" w:rsidP="00A91E1A">
      <w:proofErr w:type="gramStart"/>
      <w:r>
        <w:t xml:space="preserve">Формулы набираются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>, шрифт –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размер: обычный – 14 пт., крупный индекс – 10 пт., мелкий индекс – 9 </w:t>
      </w:r>
      <w:proofErr w:type="spellStart"/>
      <w:r>
        <w:t>пт</w:t>
      </w:r>
      <w:proofErr w:type="spellEnd"/>
      <w:r>
        <w:t xml:space="preserve">, крупный символ – 17 </w:t>
      </w:r>
      <w:proofErr w:type="spellStart"/>
      <w:r>
        <w:t>пт</w:t>
      </w:r>
      <w:proofErr w:type="spellEnd"/>
      <w:r>
        <w:t>, мелкий символ – 13 пт. Буквенные обозначения и греческие символы – курсивом.</w:t>
      </w:r>
      <w:proofErr w:type="gramEnd"/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Где ставить запятую</w:t>
      </w:r>
    </w:p>
    <w:p w:rsidR="00A91E1A" w:rsidRDefault="00A91E1A" w:rsidP="00A91E1A">
      <w:r>
        <w:t>При отделении десятичных долей от целых чисел: 0,5; 12,75.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Пробелы</w:t>
      </w:r>
    </w:p>
    <w:p w:rsidR="00A91E1A" w:rsidRDefault="00A91E1A" w:rsidP="00A91E1A">
      <w:r>
        <w:t>Точка, запятая, а также двоеточие, точка с запятой, восклицательный и вопросительный знаки, знак процента, градуса, минуты, секунды не отбиваются от предшествующего слова или цифры. Знаки номера</w:t>
      </w:r>
      <w:proofErr w:type="gramStart"/>
      <w:r>
        <w:t xml:space="preserve"> (№), </w:t>
      </w:r>
      <w:proofErr w:type="gramEnd"/>
      <w:r>
        <w:t>параграфа (§) и слово страница (С.) отбиваются от идущей за ними цифры неразрывным пробелом.</w:t>
      </w:r>
    </w:p>
    <w:p w:rsidR="00A91E1A" w:rsidRDefault="00A91E1A" w:rsidP="00A91E1A">
      <w:r>
        <w:t>Многозначные числа должны быть разбиты на разряды: 9 876 543. Пробелы здесь только неразрывные, простые и десятичные дроби не отбиваются от целой части: 0,5; 13/4, как и обозначение степени: м</w:t>
      </w:r>
      <w:proofErr w:type="gramStart"/>
      <w:r>
        <w:t>2</w:t>
      </w:r>
      <w:proofErr w:type="gramEnd"/>
      <w:r>
        <w:t>. Число от размерности, напротив, отбивается неразрывным пробелом: 3 кг, 200 кВт, а также 1927 г., XIX-XX вв.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Кавычки и скобки</w:t>
      </w:r>
    </w:p>
    <w:p w:rsidR="00A91E1A" w:rsidRDefault="00A91E1A" w:rsidP="00A91E1A">
      <w:r>
        <w:t>Они набираются вплотную к слову, без пробелов. При наборе необходимо использовать типографские кавычки – «ёлочки». Скобки ставятся точно так же, как и кавычки. Если скобка завершает предложение, точка ставится после неё. Если же точка необходима внутри скобки, то снаружи она уже не ставится.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Образец</w:t>
      </w:r>
    </w:p>
    <w:p w:rsidR="00A91E1A" w:rsidRDefault="00A91E1A" w:rsidP="00A91E1A">
      <w:r>
        <w:t>Иванов Иван Петрович,</w:t>
      </w:r>
    </w:p>
    <w:p w:rsidR="00A91E1A" w:rsidRDefault="00A91E1A" w:rsidP="00A91E1A">
      <w:r>
        <w:t xml:space="preserve">Иркутский Государственный университет,  </w:t>
      </w:r>
    </w:p>
    <w:p w:rsidR="00A91E1A" w:rsidRDefault="00A91E1A" w:rsidP="00A91E1A">
      <w:r>
        <w:t>исторический факультет, студент 3 курса</w:t>
      </w:r>
    </w:p>
    <w:p w:rsidR="00A91E1A" w:rsidRDefault="00A91E1A" w:rsidP="00A91E1A">
      <w:r>
        <w:t>Научный руководитель:</w:t>
      </w:r>
    </w:p>
    <w:p w:rsidR="00A91E1A" w:rsidRDefault="00A91E1A" w:rsidP="00A91E1A">
      <w:r>
        <w:lastRenderedPageBreak/>
        <w:t xml:space="preserve">Сидоров Степан Иванович, </w:t>
      </w:r>
      <w:proofErr w:type="spellStart"/>
      <w:r>
        <w:t>к.и.н</w:t>
      </w:r>
      <w:proofErr w:type="spellEnd"/>
      <w:r>
        <w:t>., доцент</w:t>
      </w:r>
    </w:p>
    <w:p w:rsidR="00A91E1A" w:rsidRDefault="00A91E1A" w:rsidP="00A91E1A">
      <w:r>
        <w:t>Административное деление Восточной Сибири в 1930-1937 гг. и образование Иркутской области</w:t>
      </w:r>
    </w:p>
    <w:p w:rsidR="00A91E1A" w:rsidRDefault="00A91E1A" w:rsidP="00A91E1A">
      <w:r>
        <w:t>Текст доклада. Ссылка (1, с. 251).</w:t>
      </w:r>
    </w:p>
    <w:p w:rsidR="00A91E1A" w:rsidRPr="00A91E1A" w:rsidRDefault="00A91E1A" w:rsidP="00A91E1A">
      <w:pPr>
        <w:rPr>
          <w:b/>
        </w:rPr>
      </w:pPr>
      <w:r w:rsidRPr="00A91E1A">
        <w:rPr>
          <w:b/>
        </w:rPr>
        <w:t>Список литературы:</w:t>
      </w:r>
      <w:bookmarkStart w:id="0" w:name="_GoBack"/>
      <w:bookmarkEnd w:id="0"/>
    </w:p>
    <w:p w:rsidR="00C47385" w:rsidRDefault="00A91E1A" w:rsidP="00A91E1A">
      <w:r>
        <w:t xml:space="preserve">1. Кудрявцев Ф.А., </w:t>
      </w:r>
      <w:proofErr w:type="spellStart"/>
      <w:r>
        <w:t>Вендрих</w:t>
      </w:r>
      <w:proofErr w:type="spellEnd"/>
      <w:r>
        <w:t xml:space="preserve"> Г.А. Иркутск: Очерки по истории города. Иркутск: Восточно-Сибирское книжное издательство, 1977. – 440 с.</w:t>
      </w:r>
    </w:p>
    <w:sectPr w:rsidR="00C4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A"/>
    <w:rsid w:val="00A91E1A"/>
    <w:rsid w:val="00C4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2017-04-03T05:12:00Z</dcterms:created>
  <dcterms:modified xsi:type="dcterms:W3CDTF">2017-04-03T05:13:00Z</dcterms:modified>
</cp:coreProperties>
</file>