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500" w:type="dxa"/>
      </w:tblGrid>
      <w:tblPr>
        <w:jc w:val="end"/>
        <w:tblW w:w="0" w:type="auto"/>
        <w:tblCellSpacing w:w="0" w:type="dxa"/>
        <w:tblLayout w:type="autofit"/>
        <w:bidiVisual w:val="0"/>
        <w:tblCellMar>
          <w:left w:w="50" w:type="dxa"/>
        </w:tblCellMar>
      </w:tblPr>
      <w:tr>
        <w:trPr/>
        <w:tc>
          <w:tcPr>
            <w:tcW w:w="3500" w:type="dxa"/>
            <w:vAlign w:val="top"/>
          </w:tcPr>
          <w:p>
            <w:pPr>
              <w:pStyle w:val="pTextStyleCenter"/>
            </w:pPr>
            <w:r>
              <w:rPr>
                <w:sz w:val="28"/>
                <w:szCs w:val="28"/>
              </w:rPr>
              <w:t xml:space="preserve">УТВЕРЖДЕН</w:t>
            </w:r>
          </w:p>
          <w:p>
            <w:pPr>
              <w:pStyle w:val="pTextStyleCenter"/>
            </w:pPr>
            <w:r>
              <w:rPr>
                <w:sz w:val="28"/>
                <w:szCs w:val="28"/>
              </w:rPr>
              <w:t xml:space="preserve">приказом Министерства</w:t>
            </w:r>
          </w:p>
          <w:p>
            <w:pPr>
              <w:pStyle w:val="pTextStyleCenter"/>
            </w:pPr>
            <w:r>
              <w:rPr>
                <w:sz w:val="28"/>
                <w:szCs w:val="28"/>
              </w:rPr>
              <w:t xml:space="preserve">труда и социальной защиты</w:t>
            </w:r>
          </w:p>
          <w:p>
            <w:pPr>
              <w:pStyle w:val="pTextStyleCenter"/>
            </w:pPr>
            <w:r>
              <w:rPr>
                <w:sz w:val="28"/>
                <w:szCs w:val="28"/>
              </w:rPr>
              <w:t xml:space="preserve">Российской Федерации</w:t>
            </w:r>
          </w:p>
          <w:p>
            <w:pPr>
              <w:pStyle w:val="pTextStyleCenter"/>
            </w:pPr>
            <w:r>
              <w:rPr>
                <w:sz w:val="28"/>
                <w:szCs w:val="28"/>
              </w:rPr>
              <w:t xml:space="preserve">от 20 июля 2022 № 424н </w:t>
            </w:r>
          </w:p>
        </w:tc>
      </w:tr>
    </w:tbl>
    <w:p>
      <w:pPr>
        <w:pStyle w:val="pH1Style"/>
      </w:pPr>
      <w:r>
        <w:rPr>
          <w:rStyle w:val="rH1Style"/>
        </w:rPr>
        <w:t xml:space="preserve">ПРОФЕССИОНАЛЬНЫЙ СТАНДАРТ</w:t>
      </w:r>
    </w:p>
    <w:p>
      <w:pPr>
        <w:pStyle w:val="pTitleStyle"/>
      </w:pPr>
      <w:r>
        <w:rPr>
          <w:rStyle w:val="rTitleStyle"/>
        </w:rPr>
        <w:t xml:space="preserve">Программист</w:t>
      </w:r>
    </w:p>
    <w:tbl>
      <w:tblGrid>
        <w:gridCol w:w="2500" w:type="dxa"/>
      </w:tblGrid>
      <w:tblPr>
        <w:jc w:val="end"/>
        <w:tblW w:w="0" w:type="auto"/>
        <w:tblCellSpacing w:w="0" w:type="dxa"/>
        <w:tblLayout w:type="autofit"/>
        <w:bidiVisual w:val="0"/>
        <w:tblCellMar>
          <w:left w:w="50" w:type="dxa"/>
        </w:tblCellMar>
      </w:tblPr>
      <w:tr>
        <w:trPr/>
        <w:tc>
          <w:tcPr>
            <w:tcW w:w="25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4</w:t>
            </w:r>
          </w:p>
        </w:tc>
      </w:tr>
      <w:tr>
        <w:trPr/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</w:t>
            </w:r>
          </w:p>
        </w:tc>
      </w:tr>
    </w:tbl>
    <w:p>
      <w:pPr>
        <w:pStyle w:val="pTextStyleCenter"/>
      </w:pPr>
      <w:r>
        <w:rPr/>
        <w:t xml:space="preserve"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t>I. Общие сведения</w:t>
        </w:r>
        <w:r>
          <w:tab/>
        </w:r>
        <w:r>
          <w:fldChar w:fldCharType="begin"/>
        </w:r>
        <w:r>
          <w:instrText xml:space="preserve">PAGEREF _Toc1 \h</w:instrText>
        </w:r>
        <w:r>
          <w:fldChar w:fldCharType="end"/>
        </w:r>
      </w:hyperlink>
    </w:p>
    <w:p>
      <w:pPr>
        <w:tabs>
          <w:tab w:val="right" w:leader="dot" w:pos="9062"/>
        </w:tabs>
      </w:pPr>
      <w:hyperlink w:anchor="_Toc2" w:history="1">
        <w:r>
          <w:t>II. Описание трудовых функций, входящих в профессиональный стандарт (функциональная карта вида профессиональной деятельности)</w:t>
        </w:r>
        <w:r>
          <w:tab/>
        </w:r>
        <w:r>
          <w:fldChar w:fldCharType="begin"/>
        </w:r>
        <w:r>
          <w:instrText xml:space="preserve">PAGEREF _Toc2 \h</w:instrText>
        </w:r>
        <w:r>
          <w:fldChar w:fldCharType="end"/>
        </w:r>
      </w:hyperlink>
    </w:p>
    <w:p>
      <w:pPr>
        <w:tabs>
          <w:tab w:val="right" w:leader="dot" w:pos="9062"/>
        </w:tabs>
      </w:pPr>
      <w:hyperlink w:anchor="_Toc3" w:history="1">
        <w:r>
          <w:t>III. Характеристика обобщенных трудовых функций</w:t>
        </w:r>
        <w:r>
          <w:tab/>
        </w:r>
        <w:r>
          <w:fldChar w:fldCharType="begin"/>
        </w:r>
        <w:r>
          <w:instrText xml:space="preserve">PAGEREF _Toc3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4" w:history="1">
        <w:r>
          <w:t>3.1. Обобщенная трудовая функция «Разработка и отладка программного кода»</w:t>
        </w:r>
        <w:r>
          <w:tab/>
        </w:r>
        <w:r>
          <w:fldChar w:fldCharType="begin"/>
        </w:r>
        <w:r>
          <w:instrText xml:space="preserve">PAGEREF _Toc4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5" w:history="1">
        <w:r>
          <w:t>3.2. Обобщенная трудовая функция «Проверка работоспособности и рефакторинг кода программного обеспечения»</w:t>
        </w:r>
        <w:r>
          <w:tab/>
        </w:r>
        <w:r>
          <w:fldChar w:fldCharType="begin"/>
        </w:r>
        <w:r>
          <w:instrText xml:space="preserve">PAGEREF _Toc5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6" w:history="1">
        <w:r>
          <w:t>3.3. Обобщенная трудовая функция «Интеграция программных модулей и компонентов и проверка работоспособности выпусков программного продукта»</w:t>
        </w:r>
        <w:r>
          <w:tab/>
        </w:r>
        <w:r>
          <w:fldChar w:fldCharType="begin"/>
        </w:r>
        <w:r>
          <w:instrText xml:space="preserve">PAGEREF _Toc6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7" w:history="1">
        <w:r>
          <w:t>3.4. Обобщенная трудовая функция «Разработка требований и проектирование программного обеспечения»</w:t>
        </w:r>
        <w:r>
          <w:tab/>
        </w:r>
        <w:r>
          <w:fldChar w:fldCharType="begin"/>
        </w:r>
        <w:r>
          <w:instrText xml:space="preserve">PAGEREF _Toc7 \h</w:instrText>
        </w:r>
        <w:r>
          <w:fldChar w:fldCharType="end"/>
        </w:r>
      </w:hyperlink>
    </w:p>
    <w:p>
      <w:pPr>
        <w:tabs>
          <w:tab w:val="right" w:leader="dot" w:pos="9062"/>
        </w:tabs>
      </w:pPr>
      <w:hyperlink w:anchor="_Toc8" w:history="1">
        <w:r>
          <w:t>IV. Сведения об организациях – разработчиках профессионального стандарта</w:t>
        </w:r>
        <w:r>
          <w:tab/>
        </w:r>
        <w:r>
          <w:fldChar w:fldCharType="begin"/>
        </w:r>
        <w:r>
          <w:instrText xml:space="preserve">PAGEREF _Toc8 \h</w:instrText>
        </w:r>
        <w:r>
          <w:fldChar w:fldCharType="end"/>
        </w:r>
      </w:hyperlink>
    </w:p>
    <w:p>
      <w:r>
        <w:fldChar w:fldCharType="end"/>
      </w:r>
    </w:p>
    <w:p>
      <w:pPr>
        <w:pStyle w:val="Heading1"/>
      </w:pPr>
      <w:bookmarkStart w:id="9" w:name="_Toc1"/>
      <w:r>
        <w:t>I. Общие сведения</w:t>
      </w:r>
      <w:bookmarkEnd w:id="9"/>
    </w:p>
    <w:tbl>
      <w:tblGrid>
        <w:gridCol w:w="8500" w:type="dxa"/>
        <w:gridCol w:w="500" w:type="dxa"/>
        <w:gridCol w:w="2000" w:type="dxa"/>
      </w:tblGrid>
      <w:tblPr>
        <w:tblW w:w="0" w:type="auto"/>
        <w:tblCellSpacing w:w="0" w:type="dxa"/>
        <w:tblLayout w:type="autofit"/>
        <w:bidiVisual w:val="0"/>
        <w:tblCellMar>
          <w:left w:w="50" w:type="dxa"/>
        </w:tblCellMar>
      </w:tblPr>
      <w:tr>
        <w:trPr/>
        <w:tc>
          <w:tcPr>
            <w:tcW w:w="8500" w:type="dxa"/>
            <w:vAlign w:val="top"/>
            <w:tcBorders>
              <w:bottom w:val="single" w:sz="10" w:color="#808080"/>
            </w:tcBorders>
          </w:tcPr>
          <w:p>
            <w:pPr>
              <w:pStyle w:val="pTextStyle"/>
            </w:pPr>
            <w:r>
              <w:rPr/>
              <w:t xml:space="preserve">Разработка компьютерного программного обеспечения</w:t>
            </w:r>
          </w:p>
        </w:tc>
        <w:tc>
          <w:tcPr>
            <w:tcW w:w="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0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06.001</w:t>
            </w:r>
          </w:p>
        </w:tc>
      </w:tr>
      <w:tr>
        <w:trPr/>
        <w:tc>
          <w:tcPr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(наименование вида профессиональной деятельности)</w:t>
            </w:r>
          </w:p>
        </w:tc>
        <w:tc>
          <w:tcPr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</w:tr>
    </w:tbl>
    <w:p>
      <w:pPr>
        <w:pStyle w:val="pTitleStyleLeft"/>
      </w:pPr>
      <w:r>
        <w:rPr/>
        <w:t xml:space="preserve">Основная цель вида профессиональной деятельности:</w:t>
      </w:r>
    </w:p>
    <w:tbl>
      <w:tblGrid>
        <w:gridCol w:w="11000" w:type="dxa"/>
      </w:tblGrid>
      <w:tblPr>
        <w:tblW w:w="0" w:type="auto"/>
        <w:tblCellSpacing w:w="0" w:type="dxa"/>
        <w:tblLayout w:type="autofit"/>
        <w:bidiVisual w:val="0"/>
        <w:tblCellMar>
          <w:left w:w="50" w:type="dxa"/>
        </w:tblCellMar>
      </w:tblPr>
      <w:tr>
        <w:trPr/>
        <w:tc>
          <w:tcPr>
            <w:tcW w:w="110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Разработка, отладка, проверка работоспособности, модификация компьютерного программного обеспечения</w:t>
            </w:r>
          </w:p>
        </w:tc>
      </w:tr>
    </w:tbl>
    <w:p>
      <w:pPr>
        <w:pStyle w:val="pTitleStyleLeft"/>
      </w:pPr>
      <w:r>
        <w:rPr/>
        <w:t xml:space="preserve">Группа занятий:</w:t>
      </w:r>
    </w:p>
    <w:tbl>
      <w:tblGrid>
        <w:gridCol w:w="1500" w:type="dxa"/>
        <w:gridCol w:w="4000" w:type="dxa"/>
        <w:gridCol w:w="1500" w:type="dxa"/>
        <w:gridCol w:w="4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5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2512</w:t>
            </w:r>
          </w:p>
        </w:tc>
        <w:tc>
          <w:tcPr>
            <w:tcW w:w="40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Разработчики программного обеспечения</w:t>
            </w:r>
          </w:p>
        </w:tc>
        <w:tc>
          <w:tcPr>
            <w:tcW w:w="15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2514</w:t>
            </w:r>
          </w:p>
        </w:tc>
        <w:tc>
          <w:tcPr>
            <w:tcW w:w="40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Программисты приложений</w:t>
            </w:r>
          </w:p>
        </w:tc>
      </w:tr>
      <w:tr>
        <w:trPr/>
        <w:tc>
          <w:tcPr>
            <w:tcW w:w="15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3512</w:t>
            </w:r>
          </w:p>
        </w:tc>
        <w:tc>
          <w:tcPr>
            <w:tcW w:w="40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Специалисты-техники по поддержке пользователей ИКТ</w:t>
            </w:r>
          </w:p>
        </w:tc>
        <w:tc>
          <w:tcPr>
            <w:tcW w:w="15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-</w:t>
            </w:r>
          </w:p>
        </w:tc>
        <w:tc>
          <w:tcPr>
            <w:tcW w:w="40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1500" w:type="dxa"/>
            <w:vAlign w:val="top"/>
          </w:tcPr>
          <w:p>
            <w:pPr>
              <w:pStyle w:val="pDescStyleCenter"/>
            </w:pPr>
            <w:r>
              <w:rPr>
                <w:sz w:val="20"/>
                <w:szCs w:val="20"/>
              </w:rPr>
              <w:t xml:space="preserve">(код ОКЗ)</w:t>
            </w:r>
          </w:p>
        </w:tc>
        <w:tc>
          <w:tcPr>
            <w:tcW w:w="4000" w:type="dxa"/>
            <w:vAlign w:val="top"/>
          </w:tcPr>
          <w:p>
            <w:pPr>
              <w:pStyle w:val="pDescStyleCenter"/>
            </w:pPr>
            <w:r>
              <w:rPr>
                <w:sz w:val="20"/>
                <w:szCs w:val="20"/>
              </w:rPr>
              <w:t xml:space="preserve">(наименование)</w:t>
            </w:r>
          </w:p>
        </w:tc>
        <w:tc>
          <w:tcPr>
            <w:tcW w:w="1500" w:type="dxa"/>
            <w:vAlign w:val="top"/>
          </w:tcPr>
          <w:p>
            <w:pPr>
              <w:pStyle w:val="pDescStyleCenter"/>
            </w:pPr>
            <w:r>
              <w:rPr>
                <w:sz w:val="20"/>
                <w:szCs w:val="20"/>
              </w:rPr>
              <w:t xml:space="preserve">(код ОКЗ)</w:t>
            </w:r>
          </w:p>
        </w:tc>
        <w:tc>
          <w:tcPr>
            <w:tcW w:w="4000" w:type="dxa"/>
            <w:vAlign w:val="top"/>
          </w:tcPr>
          <w:p>
            <w:pPr>
              <w:pStyle w:val="pDescStyleCenter"/>
            </w:pPr>
            <w:r>
              <w:rPr>
                <w:sz w:val="20"/>
                <w:szCs w:val="20"/>
              </w:rPr>
              <w:t xml:space="preserve">(наименование)</w:t>
            </w:r>
          </w:p>
        </w:tc>
      </w:tr>
    </w:tbl>
    <w:p>
      <w:pPr>
        <w:pStyle w:val="pTitleStyleLeft"/>
      </w:pPr>
      <w:r>
        <w:rPr/>
        <w:t xml:space="preserve">Отнесение к видам экономической деятельности:</w:t>
      </w:r>
    </w:p>
    <w:tbl>
      <w:tblGrid>
        <w:gridCol w:w="1500" w:type="dxa"/>
        <w:gridCol w:w="9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5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62.01</w:t>
            </w:r>
          </w:p>
        </w:tc>
        <w:tc>
          <w:tcPr>
            <w:tcW w:w="95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Разработка компьютерного программного обеспечения</w:t>
            </w:r>
          </w:p>
        </w:tc>
      </w:tr>
      <w:tr>
        <w:trPr/>
        <w:tc>
          <w:tcPr>
            <w:tcW w:w="1500" w:type="dxa"/>
            <w:vAlign w:val="top"/>
          </w:tcPr>
          <w:p>
            <w:pPr>
              <w:pStyle w:val="pDescStyleCenter"/>
            </w:pPr>
            <w:r>
              <w:rPr>
                <w:sz w:val="20"/>
                <w:szCs w:val="20"/>
              </w:rPr>
              <w:t xml:space="preserve">(код ОКВЭД)</w:t>
            </w:r>
          </w:p>
        </w:tc>
        <w:tc>
          <w:tcPr>
            <w:tcW w:w="9500" w:type="dxa"/>
            <w:vAlign w:val="top"/>
          </w:tcPr>
          <w:p>
            <w:pPr>
              <w:pStyle w:val="pDescStyleCenter"/>
            </w:pPr>
            <w:r>
              <w:rPr>
                <w:sz w:val="20"/>
                <w:szCs w:val="20"/>
              </w:rPr>
              <w:t xml:space="preserve">(наименование вида экономической деятельности)</w:t>
            </w:r>
          </w:p>
        </w:tc>
      </w:tr>
    </w:tbl>
    <w:p>
      <w:pPr>
        <w:sectPr>
          <w:pgSz w:orient="portrait" w:w="11905.511811023622" w:h="16837.79527559055"/>
          <w:pgMar w:top="755.90551181102364" w:right="578.26771653543301" w:bottom="1440" w:left="755.90551181102364" w:header="720" w:footer="720" w:gutter="0"/>
          <w:cols w:num="1" w:space="720"/>
        </w:sectPr>
      </w:pPr>
    </w:p>
    <w:p>
      <w:pPr>
        <w:pStyle w:val="Heading1"/>
      </w:pPr>
      <w:bookmarkStart w:id="10" w:name="_Toc2"/>
      <w:r>
        <w:t>II. Описание трудовых функций, входящих в профессиональный стандарт (функциональная карта вида профессиональной деятельности)</w:t>
      </w:r>
      <w:bookmarkEnd w:id="10"/>
    </w:p>
    <w:tbl>
      <w:tblGrid>
        <w:gridCol w:w="500" w:type="dxa"/>
        <w:gridCol w:w="4000" w:type="dxa"/>
        <w:gridCol w:w="1500" w:type="dxa"/>
        <w:gridCol w:w="7000" w:type="dxa"/>
        <w:gridCol w:w="1500" w:type="dxa"/>
        <w:gridCol w:w="15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6000" w:type="dxa"/>
            <w:vAlign w:val="top"/>
            <w:gridSpan w:val="3"/>
          </w:tcPr>
          <w:p>
            <w:pPr>
              <w:pStyle w:val="pTextStyleCenter"/>
            </w:pPr>
            <w:r>
              <w:rPr/>
              <w:t xml:space="preserve">Обобщенные трудовые функции</w:t>
            </w:r>
          </w:p>
        </w:tc>
        <w:tc>
          <w:tcPr>
            <w:tcW w:w="10000" w:type="dxa"/>
            <w:vAlign w:val="top"/>
            <w:gridSpan w:val="3"/>
          </w:tcPr>
          <w:p>
            <w:pPr>
              <w:pStyle w:val="pTextStyleCenter"/>
            </w:pPr>
            <w:r>
              <w:rPr/>
              <w:t xml:space="preserve">Трудовые функции</w:t>
            </w:r>
          </w:p>
        </w:tc>
      </w:tr>
      <w:tr>
        <w:trPr/>
        <w:tc>
          <w:tcPr>
            <w:tcW w:w="500" w:type="dxa"/>
            <w:vAlign w:val="center"/>
          </w:tcPr>
          <w:p>
            <w:pPr>
              <w:pStyle w:val="pTextStyleCenter"/>
            </w:pPr>
            <w:r>
              <w:rPr/>
              <w:t xml:space="preserve">код</w:t>
            </w:r>
          </w:p>
        </w:tc>
        <w:tc>
          <w:tcPr>
            <w:tcW w:w="4000" w:type="dxa"/>
            <w:vAlign w:val="center"/>
          </w:tcPr>
          <w:p>
            <w:pPr>
              <w:pStyle w:val="pTextStyleCenter"/>
            </w:pPr>
            <w:r>
              <w:rPr/>
              <w:t xml:space="preserve">наименование</w:t>
            </w:r>
          </w:p>
        </w:tc>
        <w:tc>
          <w:tcPr>
            <w:tcW w:w="1500" w:type="dxa"/>
            <w:vAlign w:val="center"/>
          </w:tcPr>
          <w:p>
            <w:pPr>
              <w:pStyle w:val="pTextStyleCenter"/>
            </w:pPr>
            <w:r>
              <w:rPr/>
              <w:t xml:space="preserve">уровень квалификации</w:t>
            </w:r>
          </w:p>
        </w:tc>
        <w:tc>
          <w:tcPr>
            <w:tcW w:w="7000" w:type="dxa"/>
            <w:vAlign w:val="center"/>
          </w:tcPr>
          <w:p>
            <w:pPr>
              <w:pStyle w:val="pTextStyleCenter"/>
            </w:pPr>
            <w:r>
              <w:rPr/>
              <w:t xml:space="preserve">наименование</w:t>
            </w:r>
          </w:p>
        </w:tc>
        <w:tc>
          <w:tcPr>
            <w:tcW w:w="1500" w:type="dxa"/>
            <w:vAlign w:val="center"/>
          </w:tcPr>
          <w:p>
            <w:pPr>
              <w:pStyle w:val="pTextStyleCenter"/>
            </w:pPr>
            <w:r>
              <w:rPr/>
              <w:t xml:space="preserve">код</w:t>
            </w:r>
          </w:p>
        </w:tc>
        <w:tc>
          <w:tcPr>
            <w:tcW w:w="1500" w:type="dxa"/>
            <w:vAlign w:val="center"/>
          </w:tcPr>
          <w:p>
            <w:pPr>
              <w:pStyle w:val="pTextStyleCenter"/>
            </w:pPr>
            <w:r>
              <w:rPr/>
              <w:t xml:space="preserve">уровень (подуровень) квалификации</w:t>
            </w:r>
          </w:p>
        </w:tc>
      </w:tr>
      <w:tr>
        <w:trPr/>
        <w:tc>
          <w:tcPr>
            <w:tcW w:w="500" w:type="dxa"/>
            <w:vAlign w:val="top"/>
            <w:vMerge w:val="restart"/>
          </w:tcPr>
          <w:p>
            <w:pPr>
              <w:pStyle w:val="pTextStyleCenter"/>
            </w:pPr>
            <w:r>
              <w:rPr/>
              <w:t xml:space="preserve">A</w:t>
            </w:r>
          </w:p>
        </w:tc>
        <w:tc>
          <w:tcPr>
            <w:tcW w:w="40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Разработка и отладка программного кода</w:t>
            </w:r>
          </w:p>
        </w:tc>
        <w:tc>
          <w:tcPr>
            <w:tcW w:w="1500" w:type="dxa"/>
            <w:vAlign w:val="top"/>
            <w:vMerge w:val="restart"/>
          </w:tcPr>
          <w:p>
            <w:pPr>
              <w:pStyle w:val="pTextStyleCenter"/>
            </w:pPr>
            <w:r>
              <w:rPr/>
              <w:t xml:space="preserve">3</w:t>
            </w:r>
          </w:p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Формализация и алгоритмизация поставленных задач для разработки программного кода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А/01.3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3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Написание программного кода с использованием языков программирования, определения и манипулирования данными в базах данных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А/02.3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3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Оформление программного кода в соответствии с установленными требованиями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А/03.3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3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Работа с системой управления версиями программного кода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А/04.3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3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Проверка и отладка программного кода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А/05.3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3</w:t>
            </w:r>
          </w:p>
        </w:tc>
      </w:tr>
      <w:tr>
        <w:trPr/>
        <w:tc>
          <w:tcPr>
            <w:tcW w:w="500" w:type="dxa"/>
            <w:vAlign w:val="top"/>
            <w:vMerge w:val="restart"/>
          </w:tcPr>
          <w:p>
            <w:pPr>
              <w:pStyle w:val="pTextStyleCenter"/>
            </w:pPr>
            <w:r>
              <w:rPr/>
              <w:t xml:space="preserve">B</w:t>
            </w:r>
          </w:p>
        </w:tc>
        <w:tc>
          <w:tcPr>
            <w:tcW w:w="40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Проверка работоспособности и рефакторинг кода программного обеспечения</w:t>
            </w:r>
          </w:p>
        </w:tc>
        <w:tc>
          <w:tcPr>
            <w:tcW w:w="1500" w:type="dxa"/>
            <w:vAlign w:val="top"/>
            <w:vMerge w:val="restart"/>
          </w:tcPr>
          <w:p>
            <w:pPr>
              <w:pStyle w:val="pTextStyleCenter"/>
            </w:pPr>
            <w:r>
              <w:rPr/>
              <w:t xml:space="preserve">4</w:t>
            </w:r>
          </w:p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Разработка процедур проверки работоспособности и измерения характеристик компьютерного программного обеспечения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B/01.4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4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Разработка тестовых наборов данных для проверки работоспособности компьютерного программного обеспечения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B/02.4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4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Проверка работоспособности компьютерного программного обеспечения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B/03.4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4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Рефакторинг, оптимизация и инспекция программного кода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B/04.4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4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Исправление дефектов программного кода, зафиксированных в базе данных дефектов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B/05.4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4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Осуществление сборки однородных программных модулей в программный проект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B/06.4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4</w:t>
            </w:r>
          </w:p>
        </w:tc>
      </w:tr>
      <w:tr>
        <w:trPr/>
        <w:tc>
          <w:tcPr>
            <w:tcW w:w="500" w:type="dxa"/>
            <w:vAlign w:val="top"/>
            <w:vMerge w:val="restart"/>
          </w:tcPr>
          <w:p>
            <w:pPr>
              <w:pStyle w:val="pTextStyleCenter"/>
            </w:pPr>
            <w:r>
              <w:rPr/>
              <w:t xml:space="preserve">C</w:t>
            </w:r>
          </w:p>
        </w:tc>
        <w:tc>
          <w:tcPr>
            <w:tcW w:w="40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Интеграция программных модулей и компонентов и проверка работоспособности выпусков программного продукта</w:t>
            </w:r>
          </w:p>
        </w:tc>
        <w:tc>
          <w:tcPr>
            <w:tcW w:w="1500" w:type="dxa"/>
            <w:vAlign w:val="top"/>
            <w:vMerge w:val="restart"/>
          </w:tcPr>
          <w:p>
            <w:pPr>
              <w:pStyle w:val="pTextStyleCenter"/>
            </w:pPr>
            <w:r>
              <w:rPr/>
              <w:t xml:space="preserve">5</w:t>
            </w:r>
          </w:p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Разработка процедур интеграции программных модулей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С/01.5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5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Осуществление интеграции программных модулей и компонентов и проверки работоспособности выпусков программного продукта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С/02.5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5</w:t>
            </w:r>
          </w:p>
        </w:tc>
      </w:tr>
      <w:tr>
        <w:trPr/>
        <w:tc>
          <w:tcPr>
            <w:tcW w:w="500" w:type="dxa"/>
            <w:vAlign w:val="top"/>
            <w:vMerge w:val="restart"/>
          </w:tcPr>
          <w:p>
            <w:pPr>
              <w:pStyle w:val="pTextStyleCenter"/>
            </w:pPr>
            <w:r>
              <w:rPr/>
              <w:t xml:space="preserve">D</w:t>
            </w:r>
          </w:p>
        </w:tc>
        <w:tc>
          <w:tcPr>
            <w:tcW w:w="40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Разработка требований и проектирование программного обеспечения</w:t>
            </w:r>
          </w:p>
        </w:tc>
        <w:tc>
          <w:tcPr>
            <w:tcW w:w="1500" w:type="dxa"/>
            <w:vAlign w:val="top"/>
            <w:vMerge w:val="restart"/>
          </w:tcPr>
          <w:p>
            <w:pPr>
              <w:pStyle w:val="pTextStyleCenter"/>
            </w:pPr>
            <w:r>
              <w:rPr/>
              <w:t xml:space="preserve">6</w:t>
            </w:r>
          </w:p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Анализ возможностей реализации требований к компьютерному программному обеспечению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D/01.6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Разработка технических спецификаций на программные компоненты и их взаимодействие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D/02.6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Проектирование компьютерного программного обеспечения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D/03.6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</w:tbl>
    <w:p>
      <w:pPr>
        <w:sectPr>
          <w:pgSz w:orient="landscape" w:w="16837.79527559055" w:h="11905.511811023622"/>
          <w:pgMar w:top="755.90551181102364" w:right="578.26771653543301" w:bottom="1440" w:left="755.90551181102364" w:header="720" w:footer="720" w:gutter="0"/>
          <w:cols w:num="1" w:space="720"/>
        </w:sectPr>
      </w:pPr>
    </w:p>
    <w:p>
      <w:pPr>
        <w:pStyle w:val="Heading1"/>
      </w:pPr>
      <w:bookmarkStart w:id="11" w:name="_Toc3"/>
      <w:r>
        <w:t>III. Характеристика обобщенных трудовых функций</w:t>
      </w:r>
      <w:bookmarkEnd w:id="11"/>
    </w:p>
    <w:p>
      <w:pPr>
        <w:pStyle w:val="Heading2"/>
      </w:pPr>
      <w:bookmarkStart w:id="12" w:name="_Toc4"/>
      <w:r>
        <w:t>3.1. Обобщенная трудовая функция «Разработка и отладка программного кода»</w:t>
      </w:r>
      <w:bookmarkEnd w:id="12"/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Разработка и отладка программного кода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A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3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Возможные наименования должностей, профессий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Помощник программиста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Требования к образованию и обучению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Среднее профессиональное образование – программы подготовки квалифицированных рабочих (служащих)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Требования к опыту практической работы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–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–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–</w:t>
            </w:r>
          </w:p>
        </w:tc>
      </w:tr>
    </w:tbl>
    <w:p>
      <w:pPr>
        <w:pStyle w:val="pTitleStyleLeft"/>
      </w:pPr>
      <w:r>
        <w:rPr/>
        <w:t xml:space="preserve">Дополнительные характеристики</w:t>
      </w:r>
    </w:p>
    <w:tbl>
      <w:tblGrid>
        <w:gridCol w:w="3500" w:type="dxa"/>
        <w:gridCol w:w="1500" w:type="dxa"/>
        <w:gridCol w:w="6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500" w:type="dxa"/>
            <w:vAlign w:val="center"/>
          </w:tcPr>
          <w:p>
            <w:pPr>
              <w:pStyle w:val="pTextStyleCenter"/>
            </w:pPr>
            <w:r>
              <w:rPr/>
              <w:t xml:space="preserve">Наименование документа</w:t>
            </w:r>
          </w:p>
        </w:tc>
        <w:tc>
          <w:tcPr>
            <w:tcW w:w="1500" w:type="dxa"/>
            <w:vAlign w:val="center"/>
          </w:tcPr>
          <w:p>
            <w:pPr>
              <w:pStyle w:val="pTextStyleCenter"/>
            </w:pPr>
            <w:r>
              <w:rPr/>
              <w:t xml:space="preserve">Код</w:t>
            </w:r>
          </w:p>
        </w:tc>
        <w:tc>
          <w:tcPr>
            <w:tcW w:w="6000" w:type="dxa"/>
            <w:vAlign w:val="center"/>
          </w:tcPr>
          <w:p>
            <w:pPr>
              <w:pStyle w:val="pTextStyleCenter"/>
            </w:pPr>
            <w:r>
              <w:rPr/>
              <w:t xml:space="preserve">Наименование базовой группы, должности (профессии) или специальности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ОКЗ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3512.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Специалисты-техники по поддержке пользователей ИКТ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ЕТКС или ЕКС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/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Техник-программист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ОКПДТР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27099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Техник-программист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ОКСО 2016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2.09.00.00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Информатика и вычислительная техника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3.1.1.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Формализация и алгоритмизация поставленных задач для разработки программного кода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А/01.3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3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Составление формализованных описаний решений поставленных задач в соответствии с требованиями технического задания или внутренних документов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алгоритмов решения поставленных задач в соответствии с требованиями технического задания или внутренних документов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Проверка корректности алгоритмов решения поставленных задач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Оценка и согласование сроков выполнения поставленных задач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Использовать методы и приемы формализации поставленных задач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Использовать методы и приемы алгоритмизации поставленных задач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Использовать программное обеспечение для графического отображения алгоритмов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алгоритмы решения типовых задач в соответствующих областях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Осуществлять коммуникации с заинтересованными сторонами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и приемы формализации поставленных задач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Языки формализации функциональных спецификаций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и приемы алгоритмизации поставленных задач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Нотации и программное обеспечение для графического отображения алгоритмов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Алгоритмы решения типичных задач, области и способы их применения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–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3.1.2.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Написание программного кода с использованием языков программирования, определения и манипулирования данными в базах данных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А/02.3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3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Создание программного кода в соответствии с техническим заданием (готовыми спецификациями)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Оптимизация программного кода с использованием специализированных программных средств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Оценка и согласование сроков выполнения поставленных задач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выбранные языки программирования для написания программного кода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Использовать выбранную среду программирования и средства системы управления базами данных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Использовать возможности имеющейся технической и/или программной архитектуры для написания программного кода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Осуществлять коммуникации с заинтересованными сторонами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Синтаксис выбранного языка программирования, особенности программирования на этом языке, стандартные библиотеки языка программирования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Методологии разработки компьютерного программного обеспечения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Методологии и технологии проектирования и использования баз данных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Технологии программирования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Особенности выбранной среды программирования и системы управления базами данных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Компоненты программно-технических архитектур, существующие приложения и интерфейсы взаимодействия с ними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–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3.1.3.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Оформление программного кода в соответствии с установленными требованиями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А/03.3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3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Приведение наименований переменных, функций, классов, структур данных и файлов в соответствие с нормативно-техническими документами (стандартами и регламентами), определяющими требования к оформлению программного кода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Структурирование исходного программного кода в соответствии с нормативно-техническими документами (стандартами и регламентами), определяющими требования к оформлению программного кода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Комментирование и разметка программного кода в соответствии с нормативно-техническими документами (стандартами и регламентами), определяющими требования к оформлению программного кода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Форматирование исходного программного кода в соответствии с нормативно-техническими документами (стандартами и регламентами), определяющими требования к оформлению программного кода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Оформление технической документации на компьютерное программное обеспечение по заданному стандарту или шаблону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нормативно-технические документы (стандарты и регламенты), определяющие требования к оформлению программного кода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инструментарий для создания и актуализации исходных текстов программ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заданные стандарты и шаблоны для составления и оформления технической документации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Осуществлять коммуникации с заинтересованными сторонами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Инструментарий для создания и актуализации исходных текстов программ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повышения читаемости программного кода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Системы кодировки символов, форматы хранения исходных текстов программ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Нормативно-технические документы (стандарты и регламенты), определяющие требования к оформлению программного кода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Основные стандарты оформления технической документации на компьютерное программное обеспечение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–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3.1.4.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Работа с системой управления версиями программного кода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А/04.3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3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Регистрация изменений исходного текста программного кода в системе управления версиями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Слияние, разделение и сравнение исходных текстов программного кода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Сохранение сделанных изменений программного кода в соответствии с регламентом управления версиями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Использовать выбранную систему управления версиями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Использовать вспомогательные инструментальные программные средства для обработки исходного текста программного кода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Выполнять действия, соответствующие установленному регламенту используемой системы управления версиями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Осуществлять коммуникации с заинтересованными сторонами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Возможности используемой системы управления версиями и вспомогательных инструментальных программных средств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Установленный регламент использования системы управления версиями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–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3.1.5.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Проверка и отладка программного кода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А/05.3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3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Анализ и проверка исходного программного кода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Отладка программного кода на уровне программных модулей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Отладка программного кода на уровне межмодульных взаимодействий и взаимодействий с окружением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Оценка и согласование сроков выполнения поставленных задач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Выявлять ошибки в программном коде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методы и приемы отладки программного кода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Интерпретировать сообщения об ошибках, предупреждения, записи технологических журналов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современные компиляторы, отладчики и оптимизаторы программного кода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Осуществлять коммуникации с заинтересованными сторонами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и приемы отладки программного кода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Типы и форматы сообщений об ошибках, предупреждений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Способы использования технологических журналов, форматы и типы записей журналов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Современные компиляторы, отладчики и оптимизаторы программного кода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Сообщения о состоянии аппаратных средств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–</w:t>
            </w:r>
          </w:p>
        </w:tc>
      </w:tr>
    </w:tbl>
    <w:p>
      <w:pPr>
        <w:pStyle w:val="Heading2"/>
      </w:pPr>
      <w:bookmarkStart w:id="13" w:name="_Toc5"/>
      <w:r>
        <w:t>3.2. Обобщенная трудовая функция «Проверка работоспособности и рефакторинг кода программного обеспечения»</w:t>
      </w:r>
      <w:bookmarkEnd w:id="13"/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Проверка работоспособности и рефакторинг кода программного обеспечения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B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4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Возможные наименования должностей, профессий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Техник-программист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Требования к образованию и обучению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Среднее профессиональное образование – программы подготовки квалифицированных рабочих (служащих)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Требования к опыту практической работы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Не менее трех месяцев в области разработки компьютерного программного обеспечения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–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–</w:t>
            </w:r>
          </w:p>
        </w:tc>
      </w:tr>
    </w:tbl>
    <w:p>
      <w:pPr>
        <w:pStyle w:val="pTitleStyleLeft"/>
      </w:pPr>
      <w:r>
        <w:rPr/>
        <w:t xml:space="preserve">Дополнительные характеристики</w:t>
      </w:r>
    </w:p>
    <w:tbl>
      <w:tblGrid>
        <w:gridCol w:w="3500" w:type="dxa"/>
        <w:gridCol w:w="1500" w:type="dxa"/>
        <w:gridCol w:w="6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500" w:type="dxa"/>
            <w:vAlign w:val="center"/>
          </w:tcPr>
          <w:p>
            <w:pPr>
              <w:pStyle w:val="pTextStyleCenter"/>
            </w:pPr>
            <w:r>
              <w:rPr/>
              <w:t xml:space="preserve">Наименование документа</w:t>
            </w:r>
          </w:p>
        </w:tc>
        <w:tc>
          <w:tcPr>
            <w:tcW w:w="1500" w:type="dxa"/>
            <w:vAlign w:val="center"/>
          </w:tcPr>
          <w:p>
            <w:pPr>
              <w:pStyle w:val="pTextStyleCenter"/>
            </w:pPr>
            <w:r>
              <w:rPr/>
              <w:t xml:space="preserve">Код</w:t>
            </w:r>
          </w:p>
        </w:tc>
        <w:tc>
          <w:tcPr>
            <w:tcW w:w="6000" w:type="dxa"/>
            <w:vAlign w:val="center"/>
          </w:tcPr>
          <w:p>
            <w:pPr>
              <w:pStyle w:val="pTextStyleCenter"/>
            </w:pPr>
            <w:r>
              <w:rPr/>
              <w:t xml:space="preserve">Наименование базовой группы, должности (профессии) или специальности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ОКЗ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3512.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Специалисты-техники по поддержке пользователей ИКТ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ЕТКС или ЕКС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/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Техник-программист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ОКПДТР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27099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Техник-программист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ОКСО 2016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2.09.00.00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Информатика и вычислительная техника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3.2.1.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Разработка процедур проверки работоспособности и измерения характеристик компьютерного программного обеспечения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B/01.4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4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процедуры проверки работоспособности компьютерного программного обеспечения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процедуры сбора диагностических данных проверки работоспособности компьютерного программного обеспечения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процедуры измерения требуемых характеристик компьютерного программного обеспечения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Оформление технической документации на компьютерное программное обеспечение по заданному стандарту или шаблону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Оценка и согласование сроков выполнения поставленных задач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Писать программный код процедур проверки работоспособности компьютерного программного обеспечения на выбранном языке программирования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Использовать выбранную среду программирования для разработки процедур проверки работоспособности компьютерного программного обеспечения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заданные стандарты и шаблоны для составления и оформления технической документации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Осуществлять коммуникации с заинтересованными сторонами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автоматической и автоматизированной проверки работоспособности компьютерного программного обеспечения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Основные виды диагностических данных проверки работоспособности компьютерного программного обеспечения и способы их представления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Языки, утилиты и среды программирования и средства пакетного выполнения процедур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Типовые метрики компьютерного программного обеспечения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Основные методы измерения и оценки характеристик компьютерного программного обеспечения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Основные стандарты оформления технической документации на компьютерное программное обеспечение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–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3.2.2.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Разработка тестовых наборов данных для проверки работоспособности компьютерного программного обеспечения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B/02.4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4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Подготовка тестовых наборов данных в соответствии с выбранной методикой тестирования компьютерного программного обеспечения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Оценка и согласование сроков выполнения поставленных задач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Разрабатывать и оформлять контрольные примеры для проверки работоспособности компьютерного программного обеспечения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Разрабатывать процедуры генерации тестовых наборов данных с заданными характеристиками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Подготавливать наборы данных, используемых в процессе проверки работоспособности компьютерного программного обеспечения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Использовать командные средства разработки компьютерного программного обеспечения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Осуществлять коммуникации с заинтересованными сторонами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создания и документирования контрольных примеров и тестовых наборов данных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Правила, алгоритмы и технологии создания тестовых наборов данных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Требования к структуре и форматам хранения тестовых наборов данных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–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3.2.3.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Проверка работоспособности компьютерного программного обеспечения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B/03.4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4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Проверка работоспособности компьютерного программного обеспечения на основе разработанных тестовых наборов данных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Оценка соответствия компьютерного программного обеспечения требуемым характеристикам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Сбор и анализ полученных результатов проверки работоспособности компьютерного программного обеспечения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Оценка и согласование сроков выполнения поставленных задач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методы и средства проверки работоспособности компьютерного программного обеспечения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Интерпретировать диагностические данные проверки работоспособности компьютерного программного обеспечения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Анализировать значения полученных характеристик компьютерного программного обеспечения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Документировать результаты проверки работоспособности компьютерного программного обеспечения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Осуществлять коммуникации с заинтересованными сторонами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и средства проверки работоспособности компьютерного программного обеспечения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Среды проверки работоспособности и отладки компьютерного программного обеспечения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Государственные стандарты испытания автоматизированных систем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Руководящие документы по стандартизации требований к документам автоматизированных систем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–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3.2.4.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Рефакторинг, оптимизация и инспекция программного кода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B/04.4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4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Анализ программного кода на соответствие требованиям по читаемости и производительности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Инспекция программного кода для поиска не обнаруженных на ранних стадиях разработки компьютерного программного обеспечения ошибок и критических мест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Внесение изменений в программный код и проверка его работоспособности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Оценка и согласование сроков выполнения поставленных задач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методы, средства рефакторинга, оптимизации и инспекции программного кода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инструментальные средства коллективной работы над программным кодом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Публиковать результаты рефакторинга, оптимизации и инспекции в коллективной базе знаний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Использовать систему управления версиями для регистрации произведенных изменений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Осуществлять коммуникации с заинтересованными сторонами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и средства рефакторинга, оптимизации и инспекции программного кода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Языки программирования и среды разработки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Нормативно-технические документы (стандарты и регламенты), регламентирующие требования к программному коду, порядок отражения изменений в системе управления версиями, порядок отражения результатов рефакторинга, оптимизации и инспекции в коллективной базе знаний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–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3.2.5.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Исправление дефектов программного кода, зафиксированных в базе данных дефектов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B/05.4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4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Воспроизведение дефектов программного кода, зафиксированных в базе данных дефектов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Установление причин возникновения дефектов программного кода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Внесение изменений в программный код для устранения выявленных дефектов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Оценка и согласование сроков выполнения поставленных задач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методы и приемы отладки дефектного программного кода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Интерпретировать сообщения, предупреждения, записи технологических журналов об ошибках, возникающих при выполнении дефектного кода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Осуществлять коммуникации с заинтересованными сторонами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и приемы отладки программного кода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Типичные ошибки, возникающие при разработке компьютерного программного обеспечения, методы их диагностики и исправления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–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3.2.6.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Осуществление сборки однородных программных модулей в программный проект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B/06.4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4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Сборка однородных (одноязыковых) программных модулей в программный проект в средах разработки компьютерного программного обеспечения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Проверка работоспособности собранного программного проекта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Внесение изменений в процедуру сборки однородных (одноязыковых) программных модулей в программный проект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Оценка и согласование сроков выполнения поставленных задач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Выполнять процедуры сборки однородных (одноязыковых) программных модулей в программный проект в средах разработки компьютерного программного обеспечения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Производить настройки параметров программного проекта и осуществлять запуск процедур сборки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Проводить проверку работоспособности программного проекта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Документировать произведенные действия, выявленные проблемы и способы их устранения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Создавать резервные копии программного проекта и данных, выполнять восстановление, обеспечивать целостность программного проекта и данных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Осуществлять коммуникации с заинтересованными сторонами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и средства сборки модулей в программный проект в средах разработки компьютерного программного обеспечения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Возможности настройки программного проекта в средах разработки компьютерного программного обеспечения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Интерфейсы взаимодействия внутренних модулей программного проекта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и средства проверки работоспособности программных проектов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Языки, утилиты и среды программирования, средства пакетного выполнения процедур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–</w:t>
            </w:r>
          </w:p>
        </w:tc>
      </w:tr>
    </w:tbl>
    <w:p>
      <w:pPr>
        <w:pStyle w:val="Heading2"/>
      </w:pPr>
      <w:bookmarkStart w:id="14" w:name="_Toc6"/>
      <w:r>
        <w:t>3.3. Обобщенная трудовая функция «Интеграция программных модулей и компонентов и проверка работоспособности выпусков программного продукта»</w:t>
      </w:r>
      <w:bookmarkEnd w:id="14"/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Интеграция программных модулей и компонентов и проверка работоспособности выпусков программного продукта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C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5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Возможные наименования должностей, профессий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Программист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Требования к образованию и обучению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Среднее профессиональное образование – программы подготовки специалистов среднего звена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Требования к опыту практической работы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Не менее шести месяцев в области разработки компьютерного программного обеспечения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–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Рекомендуется дополнительное профессиональное образование – программы повышения квалификации по профилю деятельности</w:t>
            </w:r>
          </w:p>
        </w:tc>
      </w:tr>
    </w:tbl>
    <w:p>
      <w:pPr>
        <w:pStyle w:val="pTitleStyleLeft"/>
      </w:pPr>
      <w:r>
        <w:rPr/>
        <w:t xml:space="preserve">Дополнительные характеристики</w:t>
      </w:r>
    </w:p>
    <w:tbl>
      <w:tblGrid>
        <w:gridCol w:w="3500" w:type="dxa"/>
        <w:gridCol w:w="1500" w:type="dxa"/>
        <w:gridCol w:w="6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500" w:type="dxa"/>
            <w:vAlign w:val="center"/>
          </w:tcPr>
          <w:p>
            <w:pPr>
              <w:pStyle w:val="pTextStyleCenter"/>
            </w:pPr>
            <w:r>
              <w:rPr/>
              <w:t xml:space="preserve">Наименование документа</w:t>
            </w:r>
          </w:p>
        </w:tc>
        <w:tc>
          <w:tcPr>
            <w:tcW w:w="1500" w:type="dxa"/>
            <w:vAlign w:val="center"/>
          </w:tcPr>
          <w:p>
            <w:pPr>
              <w:pStyle w:val="pTextStyleCenter"/>
            </w:pPr>
            <w:r>
              <w:rPr/>
              <w:t xml:space="preserve">Код</w:t>
            </w:r>
          </w:p>
        </w:tc>
        <w:tc>
          <w:tcPr>
            <w:tcW w:w="6000" w:type="dxa"/>
            <w:vAlign w:val="center"/>
          </w:tcPr>
          <w:p>
            <w:pPr>
              <w:pStyle w:val="pTextStyleCenter"/>
            </w:pPr>
            <w:r>
              <w:rPr/>
              <w:t xml:space="preserve">Наименование базовой группы, должности (профессии) или специальности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ОКЗ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2514.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Программисты приложений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ЕТКС или ЕКС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/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Техник-программист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ОКПДТР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25857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Программист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ОКСО 2016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2.10.02.03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Информационная безопасность автоматизированных систем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2.09.02.00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Информатика и вычислительная техника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3.3.1.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Разработка процедур интеграции программных модулей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С/01.5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5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Анализ и выявление проблем сопряжения неоднородных модулей и компонентов компьютерного программного обеспечения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и документирование программных интерфейсов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процедур сборки модулей и компонентов компьютерного программного обеспечения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процедур развертывания и обновления компьютерного программного обеспечения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процедур миграции и преобразования (конвертации) данных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Оформление технической документации на компьютерное программное обеспечение по заданному стандарту или шаблону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Оценка и согласование сроков выполнения поставленных задач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Писать программный код процедур интеграции программных модулей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Использовать выбранную среду программирования для разработки процедур интеграции программных модулей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методы и средства сборки модулей и компонентов компьютерного программного обеспечения, разработки процедур для развертывания компьютерного программного обеспечения, миграции и преобразования данных, создания программных интерфейсов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заданные стандарты и шаблоны для составления и оформления технической документации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Осуществлять коммуникации с заинтересованными сторонами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и средства сборки модулей и компонентов компьютерного программного обеспечения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Интерфейсы взаимодействия с внешней средой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Интерфейсы взаимодействия внутренних модулей системы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и средства разработки процедур для развертывания компьютерного программного обеспечения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и средства миграции и преобразования данных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Языки, утилиты и среды программирования, средства пакетного выполнения процедур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Основные стандарты оформления технической документации на компьютерное программное обеспечение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–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3.3.2.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Осуществление интеграции программных модулей и компонентов и проверки работоспособности выпусков программного продукта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С/02.5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5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Сборка программных модулей и компонентов в программный продукт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Подключение программного продукта к компонентам внешней среды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Проверка работоспособности выпусков программного продукта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Внесение изменений в процедуры сборки модулей и компонентов компьютерного программного обеспечения, развертывания компьютерного программного обеспечения, миграции и преобразования данных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Оценка и согласование сроков выполнения поставленных задач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Выполнять процедуры сборки программных модулей и компонентов в программный продукт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Производить настройки параметров программного продукта и осуществлять запуск процедур сборки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Проводить проверку работоспособности программного продукта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Документировать произведенные действия, выявленные проблемы и способы их устранения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Использовать командные средства разработки компьютерного программного обеспечения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Создавать резервные копии программ и данных, выполнять восстановление, обеспечивать целостность программного продукта и данных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Осуществлять коммуникации с заинтересованными сторонами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и средства сборки и интеграции программных модулей и компонентов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Интерфейсы взаимодействия программного продукта с внешней средой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Интерфейсы взаимодействия внутренних модулей программного продукта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и средства проверки работоспособности выпусков программных продуктов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Языки, утилиты и среды программирования, средства пакетного выполнения процедур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–</w:t>
            </w:r>
          </w:p>
        </w:tc>
      </w:tr>
    </w:tbl>
    <w:p>
      <w:pPr>
        <w:pStyle w:val="Heading2"/>
      </w:pPr>
      <w:bookmarkStart w:id="15" w:name="_Toc7"/>
      <w:r>
        <w:t>3.4. Обобщенная трудовая функция «Разработка требований и проектирование программного обеспечения»</w:t>
      </w:r>
      <w:bookmarkEnd w:id="15"/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Разработка требований и проектирование программного обеспечения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D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Возможные наименования должностей, профессий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Инженер-программист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Требования к образованию и обучению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Высшее образование – бакалавриат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Требования к опыту практической работы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Не менее одного года в области разработки компьютерного программного обеспечения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–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Рекомендуется дополнительное профессиональное образование – программы повышения квалификации по профилю деятельности</w:t>
            </w:r>
          </w:p>
        </w:tc>
      </w:tr>
    </w:tbl>
    <w:p>
      <w:pPr>
        <w:pStyle w:val="pTitleStyleLeft"/>
      </w:pPr>
      <w:r>
        <w:rPr/>
        <w:t xml:space="preserve">Дополнительные характеристики</w:t>
      </w:r>
    </w:p>
    <w:tbl>
      <w:tblGrid>
        <w:gridCol w:w="3500" w:type="dxa"/>
        <w:gridCol w:w="1500" w:type="dxa"/>
        <w:gridCol w:w="6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500" w:type="dxa"/>
            <w:vAlign w:val="center"/>
          </w:tcPr>
          <w:p>
            <w:pPr>
              <w:pStyle w:val="pTextStyleCenter"/>
            </w:pPr>
            <w:r>
              <w:rPr/>
              <w:t xml:space="preserve">Наименование документа</w:t>
            </w:r>
          </w:p>
        </w:tc>
        <w:tc>
          <w:tcPr>
            <w:tcW w:w="1500" w:type="dxa"/>
            <w:vAlign w:val="center"/>
          </w:tcPr>
          <w:p>
            <w:pPr>
              <w:pStyle w:val="pTextStyleCenter"/>
            </w:pPr>
            <w:r>
              <w:rPr/>
              <w:t xml:space="preserve">Код</w:t>
            </w:r>
          </w:p>
        </w:tc>
        <w:tc>
          <w:tcPr>
            <w:tcW w:w="6000" w:type="dxa"/>
            <w:vAlign w:val="center"/>
          </w:tcPr>
          <w:p>
            <w:pPr>
              <w:pStyle w:val="pTextStyleCenter"/>
            </w:pPr>
            <w:r>
              <w:rPr/>
              <w:t xml:space="preserve">Наименование базовой группы, должности (профессии) или специальности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ОКЗ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2512.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Разработчики программного обеспечения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ЕТКС или ЕКС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/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Инженер-программист (программист)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ОКПДТР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22824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Инженер-программист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ОКСО 2016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1.01.03.02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Прикладная математика и информатика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1.02.03.01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Математика и компьютерные науки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2.09.03.01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Информатика и вычислительная техника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3.4.1.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Анализ возможностей реализации требований к компьютерному программному обеспечению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D/01.6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Сбор, систематизация, выявление взаимосвязей и документирование требований к компьютерному программному обеспечению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Оценка времени и трудоемкости реализации требований к компьютерному программному обеспечению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Согласование требований к компьютерному программному обеспечению с заинтересованными сторонами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Оценка и согласование сроков выполнения поставленных задач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Проводить сбор и систематизацию требований к компьютерному программному обеспечению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Выявлять взаимосвязи и документировать требования к компьютерному программному обеспечению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Проводить анализ исполнения требований к компьютерному программному обеспечению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Вырабатывать варианты реализации требований к компьютерному программному обеспечению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Проводить оценку и обоснование рекомендуемых решений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Осуществлять коммуникации с заинтересованными сторонами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Возможности существующей программно-технической архитектуры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Возможности современных и перспективных средств разработки программных продуктов, технических средств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Методологии разработки компьютерного программного обеспечения и технологии программирования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Методологии и технологии проектирования и использования баз данных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–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3.4.2.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Разработка технических спецификаций на программные компоненты и их взаимодействие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D/02.6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и согласование с архитектором программного обеспечения технических спецификаций на программные компоненты и на их взаимодействие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Распределение заданий между программистами в соответствии с техническими спецификациями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Осуществление контроля выполнения заданий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Осуществление обучения и наставничества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Формирование и предоставление отчетности в соответствии с установленными регламентами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Оценка и согласование сроков выполнения поставленных задач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Выбирать средства реализации требований к компьютерному программному обеспечению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Вырабатывать варианты реализации компьютерного программного обеспечения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Проводить оценку и обоснование рекомендуемых решений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Осуществлять коммуникации с заинтересованными сторонами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Языки формализации функциональных спецификаций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и приемы формализации задач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и средства проектирования компьютерного программного обеспечения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и средства проектирования программных интерфейсов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и средства проектирования баз данных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–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3.4.3.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Проектирование компьютерного программного обеспечения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D/03.6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Разработка, изменение архитектуры компьютерного программного обеспечения и ее согласование с системным аналитиком и архитектором программного обеспечения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Проектирование структур данных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Проектирование баз данных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Проектирование программных интерфейсов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технической документации на компьютерное программное обеспечение с использованием существующих стандартов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Оценка и согласование сроков выполнения поставленных задач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Использовать существующие типовые решения и шаблоны проектирования компьютерного программного обеспечения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методы и средства проектирования компьютерного программного обеспечения, структур данных, баз данных, программных интерфейсов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Использовать командные средства разработки компьютерного программного обеспечения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существующие стандарты для разработки технической документации на компьютерное программное обеспечение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Осуществлять коммуникации с заинтересованными сторонами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Принципы построения и виды архитектуры компьютерного программного обеспечения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Типовые решения, библиотеки программных модулей, шаблоны, классы объектов, используемые при разработке компьютерного программного обеспечения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Нормативно-технические документы (стандарты), определяющие требования к технической документации на компьютерное программное обеспечение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и средства проектирования компьютерного программного обеспечения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и средства проектирования баз данных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и средства проектирования программных интерфейсов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–</w:t>
            </w:r>
          </w:p>
        </w:tc>
      </w:tr>
    </w:tbl>
    <w:p>
      <w:pPr>
        <w:pStyle w:val="pTitleStyleLeft"/>
      </w:pPr>
      <w:r>
        <w:rPr>
          <w:rStyle w:val="rTitleStyle"/>
        </w:rPr>
        <w:t xml:space="preserve"> </w:t>
      </w:r>
    </w:p>
    <w:p>
      <w:pPr>
        <w:pStyle w:val="Heading1"/>
      </w:pPr>
      <w:bookmarkStart w:id="16" w:name="_Toc8"/>
      <w:r>
        <w:t>IV. Сведения об организациях – разработчиках профессионального стандарта</w:t>
      </w:r>
      <w:bookmarkEnd w:id="16"/>
    </w:p>
    <w:p>
      <w:pPr>
        <w:pStyle w:val="pTitleStyleLeft"/>
      </w:pPr>
      <w:r>
        <w:rPr>
          <w:b w:val="1"/>
          <w:bCs w:val="1"/>
        </w:rPr>
        <w:t xml:space="preserve">4.1. Ответственная организация-разработчик</w:t>
      </w:r>
    </w:p>
    <w:tbl>
      <w:tblGrid>
        <w:gridCol w:w="5000" w:type="dxa"/>
        <w:gridCol w:w="6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1000" w:type="dxa"/>
            <w:tcBorders>
              <w:top w:val="single" w:sz="5" w:color="#808080"/>
              <w:left w:val="single" w:sz="5" w:color="#808080"/>
              <w:right w:val="single" w:sz="5" w:color="#808080"/>
            </w:tcBorders>
            <w:gridSpan w:val="2"/>
          </w:tcPr>
          <w:p>
            <w:pPr>
              <w:pStyle w:val="pTextStyle"/>
            </w:pPr>
            <w:r>
              <w:rPr/>
              <w:t xml:space="preserve">ФГБУ «Всероссийский научно-исследовательский институт труда» Министерства труда и социальной защиты Российской Федерации, город Москва</w:t>
            </w:r>
          </w:p>
        </w:tc>
      </w:tr>
      <w:tr>
        <w:trPr/>
        <w:tc>
          <w:tcPr>
            <w:tcW w:w="5000" w:type="dxa"/>
            <w:tcBorders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Генеральный директор</w:t>
            </w:r>
          </w:p>
        </w:tc>
        <w:tc>
          <w:tcPr>
            <w:tcW w:w="6000" w:type="dxa"/>
            <w:tcBorders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Платыгин Д. Н.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4.2. Наименования организаций-разработчиков</w:t>
      </w:r>
    </w:p>
    <w:tbl>
      <w:tblGrid>
        <w:gridCol w:w="700" w:type="dxa"/>
        <w:gridCol w:w="103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700" w:type="dxa"/>
          </w:tcPr>
          <w:p>
            <w:pPr>
              <w:pStyle w:val="pTextStyle"/>
            </w:pPr>
            <w:r>
              <w:rPr/>
              <w:t xml:space="preserve">1</w:t>
            </w:r>
          </w:p>
        </w:tc>
        <w:tc>
          <w:tcPr>
            <w:tcW w:w="10300" w:type="dxa"/>
          </w:tcPr>
          <w:p>
            <w:pPr>
              <w:pStyle w:val="pTextStyle"/>
            </w:pPr>
            <w:r>
              <w:rPr/>
              <w:t xml:space="preserve">Ассоциация предприятий компьютерных и информационных технологий, город Москва</w:t>
            </w:r>
          </w:p>
        </w:tc>
      </w:tr>
      <w:tr>
        <w:trPr/>
        <w:tc>
          <w:tcPr>
            <w:tcW w:w="700" w:type="dxa"/>
          </w:tcPr>
          <w:p>
            <w:pPr>
              <w:pStyle w:val="pTextStyle"/>
            </w:pPr>
            <w:r>
              <w:rPr/>
              <w:t xml:space="preserve">2</w:t>
            </w:r>
          </w:p>
        </w:tc>
        <w:tc>
          <w:tcPr>
            <w:tcW w:w="10300" w:type="dxa"/>
          </w:tcPr>
          <w:p>
            <w:pPr>
              <w:pStyle w:val="pTextStyle"/>
            </w:pPr>
            <w:r>
              <w:rPr/>
              <w:t xml:space="preserve">ГБПОУ «Московский центр развития профессионального образования», город Москва</w:t>
            </w:r>
          </w:p>
        </w:tc>
      </w:tr>
      <w:tr>
        <w:trPr/>
        <w:tc>
          <w:tcPr>
            <w:tcW w:w="700" w:type="dxa"/>
          </w:tcPr>
          <w:p>
            <w:pPr>
              <w:pStyle w:val="pTextStyle"/>
            </w:pPr>
            <w:r>
              <w:rPr/>
              <w:t xml:space="preserve">3</w:t>
            </w:r>
          </w:p>
        </w:tc>
        <w:tc>
          <w:tcPr>
            <w:tcW w:w="10300" w:type="dxa"/>
          </w:tcPr>
          <w:p>
            <w:pPr>
              <w:pStyle w:val="pTextStyle"/>
            </w:pPr>
            <w:r>
              <w:rPr/>
              <w:t xml:space="preserve">ООО «1С», город Москва</w:t>
            </w:r>
          </w:p>
        </w:tc>
      </w:tr>
      <w:tr>
        <w:trPr/>
        <w:tc>
          <w:tcPr>
            <w:tcW w:w="700" w:type="dxa"/>
          </w:tcPr>
          <w:p>
            <w:pPr>
              <w:pStyle w:val="pTextStyle"/>
            </w:pPr>
            <w:r>
              <w:rPr/>
              <w:t xml:space="preserve">4</w:t>
            </w:r>
          </w:p>
        </w:tc>
        <w:tc>
          <w:tcPr>
            <w:tcW w:w="10300" w:type="dxa"/>
          </w:tcPr>
          <w:p>
            <w:pPr>
              <w:pStyle w:val="pTextStyle"/>
            </w:pPr>
            <w:r>
              <w:rPr/>
              <w:t xml:space="preserve">ООО «СТМ», город Москва</w:t>
            </w:r>
          </w:p>
        </w:tc>
      </w:tr>
      <w:tr>
        <w:trPr/>
        <w:tc>
          <w:tcPr>
            <w:tcW w:w="700" w:type="dxa"/>
          </w:tcPr>
          <w:p>
            <w:pPr>
              <w:pStyle w:val="pTextStyle"/>
            </w:pPr>
            <w:r>
              <w:rPr/>
              <w:t xml:space="preserve">5</w:t>
            </w:r>
          </w:p>
        </w:tc>
        <w:tc>
          <w:tcPr>
            <w:tcW w:w="10300" w:type="dxa"/>
          </w:tcPr>
          <w:p>
            <w:pPr>
              <w:pStyle w:val="pTextStyle"/>
            </w:pPr>
            <w:r>
              <w:rPr/>
              <w:t xml:space="preserve">ФГАОУ ВО НИУ ВШЭ, город Москва</w:t>
            </w:r>
          </w:p>
        </w:tc>
      </w:tr>
      <w:tr>
        <w:trPr/>
        <w:tc>
          <w:tcPr>
            <w:tcW w:w="700" w:type="dxa"/>
          </w:tcPr>
          <w:p>
            <w:pPr>
              <w:pStyle w:val="pTextStyle"/>
            </w:pPr>
            <w:r>
              <w:rPr/>
              <w:t xml:space="preserve">6</w:t>
            </w:r>
          </w:p>
        </w:tc>
        <w:tc>
          <w:tcPr>
            <w:tcW w:w="10300" w:type="dxa"/>
          </w:tcPr>
          <w:p>
            <w:pPr>
              <w:pStyle w:val="pTextStyle"/>
            </w:pPr>
            <w:r>
              <w:rPr/>
              <w:t xml:space="preserve">ФГБОУ ВО «Российский экономический университет им. Г. В. Плеханова», город Москва</w:t>
            </w:r>
          </w:p>
        </w:tc>
      </w:tr>
      <w:tr>
        <w:trPr/>
        <w:tc>
          <w:tcPr>
            <w:tcW w:w="700" w:type="dxa"/>
          </w:tcPr>
          <w:p>
            <w:pPr>
              <w:pStyle w:val="pTextStyle"/>
            </w:pPr>
            <w:r>
              <w:rPr/>
              <w:t xml:space="preserve">7</w:t>
            </w:r>
          </w:p>
        </w:tc>
        <w:tc>
          <w:tcPr>
            <w:tcW w:w="10300" w:type="dxa"/>
          </w:tcPr>
          <w:p>
            <w:pPr>
              <w:pStyle w:val="pTextStyle"/>
            </w:pPr>
            <w:r>
              <w:rPr/>
              <w:t xml:space="preserve">ФГБОУ ВО «Московский государственный технологический университет «СТАНКИН», город Москва</w:t>
            </w:r>
          </w:p>
        </w:tc>
      </w:tr>
    </w:tbl>
    <w:sectPr>
      <w:pgSz w:orient="portrait" w:w="11905.511811023622" w:h="16837.79527559055"/>
      <w:pgMar w:top="755.90551181102364" w:right="578.26771653543301" w:bottom="1440" w:left="755.9055118110236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H1Style"/>
    <w:rPr>
      <w:lang w:val="ru-RU"/>
      <w:sz w:val="52"/>
      <w:szCs w:val="52"/>
      <w:b w:val="0"/>
      <w:bCs w:val="0"/>
    </w:rPr>
  </w:style>
  <w:style w:type="paragraph" w:customStyle="1" w:styleId="pH1Style">
    <w:name w:val="pH1Style"/>
    <w:basedOn w:val="Normal"/>
    <w:pPr>
      <w:jc w:val="center"/>
      <w:spacing w:before="200" w:after="50"/>
    </w:pPr>
  </w:style>
  <w:style w:type="character">
    <w:name w:val="rTitleStyle"/>
    <w:rPr>
      <w:lang w:val="ru-RU"/>
      <w:sz w:val="28"/>
      <w:szCs w:val="28"/>
      <w:b w:val="1"/>
      <w:bCs w:val="1"/>
      <w:spacing w:val="16"/>
    </w:rPr>
  </w:style>
  <w:style w:type="paragraph" w:customStyle="1" w:styleId="pTitleStyle">
    <w:name w:val="pTitleStyle"/>
    <w:basedOn w:val="Normal"/>
    <w:pPr>
      <w:jc w:val="center"/>
      <w:spacing w:after="100" w:line="254" w:lineRule="auto"/>
    </w:pPr>
  </w:style>
  <w:style w:type="paragraph" w:customStyle="1" w:styleId="pTitleStyleLeft">
    <w:name w:val="pTitleStyleLeft"/>
    <w:basedOn w:val="Normal"/>
    <w:pPr>
      <w:spacing w:before="300" w:after="250" w:line="256" w:lineRule="auto"/>
    </w:pPr>
  </w:style>
  <w:style w:type="character">
    <w:name w:val="rTextStyle"/>
    <w:rPr>
      <w:lang w:val="ru-RU"/>
      <w:sz w:val="24"/>
      <w:szCs w:val="24"/>
      <w:b w:val="0"/>
      <w:bCs w:val="0"/>
    </w:rPr>
  </w:style>
  <w:style w:type="paragraph" w:customStyle="1" w:styleId="pTextStyle">
    <w:name w:val="pTextStyle"/>
    <w:basedOn w:val="Normal"/>
    <w:pPr>
      <w:jc w:val="left"/>
      <w:spacing w:before="0" w:after="0" w:line="250" w:lineRule="auto"/>
    </w:pPr>
  </w:style>
  <w:style w:type="paragraph" w:customStyle="1" w:styleId="pTextStyleCenter">
    <w:name w:val="pTextStyleCenter"/>
    <w:basedOn w:val="Normal"/>
    <w:pPr>
      <w:jc w:val="center"/>
      <w:spacing w:before="0" w:after="0" w:line="252" w:lineRule="auto"/>
    </w:pPr>
  </w:style>
  <w:style w:type="paragraph" w:customStyle="1" w:styleId="pDescStyleCenter">
    <w:name w:val="pDescStyleCenter"/>
    <w:basedOn w:val="Normal"/>
    <w:pPr>
      <w:jc w:val="center"/>
      <w:spacing w:before="0" w:after="0" w:line="250" w:lineRule="auto"/>
    </w:pPr>
  </w:style>
  <w:style w:type="paragraph" w:customStyle="1" w:styleId="pTextStyleRight">
    <w:name w:val="pTextStyleRight"/>
    <w:basedOn w:val="Normal"/>
    <w:pPr>
      <w:jc w:val="right"/>
      <w:spacing w:before="0" w:after="0" w:line="252" w:lineRule="auto"/>
    </w:pPr>
  </w:style>
  <w:style w:type="paragraph" w:styleId="Heading1">
    <w:link w:val="Heading1Char"/>
    <w:name w:val="heading 1"/>
    <w:basedOn w:val="Normal"/>
    <w:pPr>
      <w:jc w:val="left"/>
      <w:spacing w:before="100" w:after="100"/>
    </w:pPr>
    <w:rPr>
      <w:lang w:val="ru-RU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>
      <w:jc w:val="left"/>
      <w:spacing w:before="100" w:after="100"/>
    </w:pPr>
    <w:rPr>
      <w:lang w:val="ru-RU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2023-04-18T14:51:18+03:00</dcterms:created>
  <dcterms:modified xsi:type="dcterms:W3CDTF">2023-04-18T14:51:18+03:00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